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7C6" w:rsidRPr="009B54EA" w:rsidRDefault="00CA4C76" w:rsidP="009B54EA">
      <w:pPr>
        <w:jc w:val="center"/>
        <w:rPr>
          <w:rFonts w:ascii="Calibri" w:hAnsi="Calibri"/>
          <w:sz w:val="28"/>
          <w:szCs w:val="24"/>
        </w:rPr>
      </w:pPr>
      <w:r w:rsidRPr="009B54EA">
        <w:rPr>
          <w:sz w:val="28"/>
          <w:szCs w:val="24"/>
        </w:rPr>
        <w:t>O</w:t>
      </w:r>
      <w:r w:rsidRPr="009B54EA">
        <w:rPr>
          <w:sz w:val="28"/>
          <w:szCs w:val="24"/>
          <w:vertAlign w:val="subscript"/>
        </w:rPr>
        <w:t>2</w:t>
      </w:r>
      <w:r w:rsidRPr="009B54EA">
        <w:rPr>
          <w:sz w:val="28"/>
          <w:szCs w:val="24"/>
        </w:rPr>
        <w:t xml:space="preserve"> Data Processing</w:t>
      </w:r>
    </w:p>
    <w:p w:rsidR="001277C6" w:rsidRPr="009B54EA" w:rsidRDefault="00CA4C76">
      <w:pPr>
        <w:pStyle w:val="NormalWeb"/>
        <w:rPr>
          <w:rFonts w:ascii="Calibri" w:hAnsi="Calibri"/>
          <w:lang w:val="en-GB"/>
        </w:rPr>
      </w:pPr>
      <w:r w:rsidRPr="009B54EA">
        <w:rPr>
          <w:rFonts w:ascii="Calibri" w:hAnsi="Calibri"/>
          <w:lang w:val="en-GB"/>
        </w:rPr>
        <w:t xml:space="preserve">D. </w:t>
      </w:r>
      <w:proofErr w:type="spellStart"/>
      <w:r w:rsidRPr="009B54EA">
        <w:rPr>
          <w:rFonts w:ascii="Calibri" w:hAnsi="Calibri"/>
          <w:lang w:val="en-GB"/>
        </w:rPr>
        <w:t>Lefèvre</w:t>
      </w:r>
      <w:proofErr w:type="spellEnd"/>
      <w:r w:rsidRPr="009B54EA">
        <w:rPr>
          <w:rFonts w:ascii="Calibri" w:hAnsi="Calibri"/>
          <w:lang w:val="en-GB"/>
        </w:rPr>
        <w:t xml:space="preserve">, G. </w:t>
      </w:r>
      <w:proofErr w:type="spellStart"/>
      <w:r w:rsidRPr="009B54EA">
        <w:rPr>
          <w:rFonts w:ascii="Calibri" w:hAnsi="Calibri"/>
          <w:lang w:val="en-GB"/>
        </w:rPr>
        <w:t>Rougier</w:t>
      </w:r>
      <w:proofErr w:type="spellEnd"/>
      <w:r w:rsidRPr="009B54EA">
        <w:rPr>
          <w:rFonts w:ascii="Calibri" w:hAnsi="Calibri"/>
          <w:lang w:val="en-GB"/>
        </w:rPr>
        <w:t xml:space="preserve">, T. Wagener… </w:t>
      </w:r>
    </w:p>
    <w:p w:rsidR="001277C6" w:rsidRDefault="00CA4C76">
      <w:pPr>
        <w:pStyle w:val="NormalWeb"/>
        <w:jc w:val="both"/>
        <w:rPr>
          <w:rFonts w:ascii="Calibri" w:hAnsi="Calibri"/>
        </w:rPr>
      </w:pPr>
      <w:r>
        <w:rPr>
          <w:rFonts w:ascii="Calibri" w:hAnsi="Calibri"/>
        </w:rPr>
        <w:t xml:space="preserve">Merci à H. Le Goff et C. </w:t>
      </w:r>
      <w:proofErr w:type="spellStart"/>
      <w:r>
        <w:rPr>
          <w:rFonts w:ascii="Calibri" w:hAnsi="Calibri"/>
        </w:rPr>
        <w:t>Donoso</w:t>
      </w:r>
      <w:proofErr w:type="spellEnd"/>
      <w:r>
        <w:rPr>
          <w:rFonts w:ascii="Calibri" w:hAnsi="Calibri"/>
        </w:rPr>
        <w:t xml:space="preserve"> pour l’aide lors des échantillonnages à bord du N.O. L’Atalante. Merci au centre IRD Nouméa pour le prêt du système de titrage pendant la campagne et la compagnie </w:t>
      </w:r>
      <w:r>
        <w:rPr>
          <w:rFonts w:ascii="Calibri" w:hAnsi="Calibri"/>
        </w:rPr>
        <w:t xml:space="preserve">d’hélicoptère pour la livraison express sponsorisé par </w:t>
      </w:r>
      <w:proofErr w:type="spellStart"/>
      <w:r>
        <w:rPr>
          <w:rFonts w:ascii="Calibri" w:hAnsi="Calibri"/>
        </w:rPr>
        <w:t>Outpace</w:t>
      </w:r>
      <w:proofErr w:type="spellEnd"/>
      <w:r>
        <w:rPr>
          <w:rFonts w:ascii="Calibri" w:hAnsi="Calibri"/>
        </w:rPr>
        <w:t xml:space="preserve"> (Fig.1).</w:t>
      </w:r>
    </w:p>
    <w:p w:rsidR="001277C6" w:rsidRDefault="00CA4C76">
      <w:pPr>
        <w:pStyle w:val="NormalWeb"/>
        <w:jc w:val="center"/>
        <w:rPr>
          <w:rFonts w:ascii="Calibri" w:hAnsi="Calibri"/>
        </w:rPr>
      </w:pPr>
      <w:r>
        <w:rPr>
          <w:noProof/>
          <w:lang w:val="en-GB" w:eastAsia="en-GB"/>
        </w:rPr>
        <w:drawing>
          <wp:inline distT="0" distB="635" distL="0" distR="0" wp14:anchorId="3E8AEDCB" wp14:editId="72D14A47">
            <wp:extent cx="2330450" cy="213296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6"/>
                    <a:srcRect l="35390" t="9364" r="27026" b="29475"/>
                    <a:stretch>
                      <a:fillRect/>
                    </a:stretch>
                  </pic:blipFill>
                  <pic:spPr bwMode="auto">
                    <a:xfrm>
                      <a:off x="0" y="0"/>
                      <a:ext cx="2330450" cy="2132965"/>
                    </a:xfrm>
                    <a:prstGeom prst="rect">
                      <a:avLst/>
                    </a:prstGeom>
                  </pic:spPr>
                </pic:pic>
              </a:graphicData>
            </a:graphic>
          </wp:inline>
        </w:drawing>
      </w:r>
    </w:p>
    <w:p w:rsidR="001277C6" w:rsidRDefault="00CA4C76">
      <w:pPr>
        <w:pStyle w:val="NormalWeb"/>
        <w:jc w:val="center"/>
        <w:rPr>
          <w:rFonts w:ascii="Calibri" w:hAnsi="Calibri"/>
          <w:i/>
          <w:sz w:val="20"/>
        </w:rPr>
      </w:pPr>
      <w:r>
        <w:rPr>
          <w:rFonts w:ascii="Calibri" w:hAnsi="Calibri"/>
          <w:i/>
          <w:sz w:val="20"/>
        </w:rPr>
        <w:t xml:space="preserve">Figure 1 : Livraison du </w:t>
      </w:r>
      <w:proofErr w:type="spellStart"/>
      <w:r>
        <w:rPr>
          <w:rFonts w:ascii="Calibri" w:hAnsi="Calibri"/>
          <w:i/>
          <w:sz w:val="20"/>
        </w:rPr>
        <w:t>titrateur</w:t>
      </w:r>
      <w:proofErr w:type="spellEnd"/>
      <w:r>
        <w:rPr>
          <w:rFonts w:ascii="Calibri" w:hAnsi="Calibri"/>
          <w:i/>
          <w:sz w:val="20"/>
        </w:rPr>
        <w:t xml:space="preserve"> </w:t>
      </w:r>
      <w:proofErr w:type="spellStart"/>
      <w:r>
        <w:rPr>
          <w:rFonts w:ascii="Calibri" w:hAnsi="Calibri"/>
          <w:i/>
          <w:sz w:val="20"/>
        </w:rPr>
        <w:t>Metrohm</w:t>
      </w:r>
      <w:proofErr w:type="spellEnd"/>
      <w:r>
        <w:rPr>
          <w:rFonts w:ascii="Calibri" w:hAnsi="Calibri"/>
          <w:i/>
          <w:sz w:val="20"/>
        </w:rPr>
        <w:t>® à bord du NO L’Atalante</w:t>
      </w:r>
    </w:p>
    <w:p w:rsidR="001277C6" w:rsidRDefault="00CA4C76" w:rsidP="009B54EA">
      <w:pPr>
        <w:pStyle w:val="NormalWeb"/>
        <w:numPr>
          <w:ilvl w:val="0"/>
          <w:numId w:val="1"/>
        </w:numPr>
        <w:jc w:val="both"/>
      </w:pPr>
      <w:r>
        <w:rPr>
          <w:rFonts w:ascii="Calibri" w:hAnsi="Calibri"/>
        </w:rPr>
        <w:t>Détermination des concentrations d'O</w:t>
      </w:r>
      <w:r w:rsidRPr="009B54EA">
        <w:rPr>
          <w:rFonts w:ascii="Calibri" w:hAnsi="Calibri"/>
          <w:vertAlign w:val="subscript"/>
        </w:rPr>
        <w:t>2</w:t>
      </w:r>
      <w:r>
        <w:rPr>
          <w:rFonts w:ascii="Calibri" w:hAnsi="Calibri"/>
        </w:rPr>
        <w:t xml:space="preserve"> dissous sur des échantillons d'eau par la méthode de Winkler (O2W)</w:t>
      </w:r>
    </w:p>
    <w:p w:rsidR="001277C6" w:rsidRDefault="00CA4C76">
      <w:pPr>
        <w:pStyle w:val="NormalWeb"/>
        <w:jc w:val="both"/>
        <w:rPr>
          <w:rFonts w:ascii="Calibri" w:hAnsi="Calibri"/>
        </w:rPr>
      </w:pPr>
      <w:r>
        <w:rPr>
          <w:rFonts w:ascii="Calibri" w:hAnsi="Calibri"/>
        </w:rPr>
        <w:t>Les échant</w:t>
      </w:r>
      <w:r>
        <w:rPr>
          <w:rFonts w:ascii="Calibri" w:hAnsi="Calibri"/>
        </w:rPr>
        <w:t xml:space="preserve">illons ont été collectés à partir des bouteilles </w:t>
      </w:r>
      <w:proofErr w:type="spellStart"/>
      <w:r>
        <w:rPr>
          <w:rFonts w:ascii="Calibri" w:hAnsi="Calibri"/>
        </w:rPr>
        <w:t>Niskin</w:t>
      </w:r>
      <w:proofErr w:type="spellEnd"/>
      <w:r>
        <w:rPr>
          <w:rFonts w:ascii="Calibri" w:hAnsi="Calibri"/>
        </w:rPr>
        <w:t xml:space="preserve"> (12dm</w:t>
      </w:r>
      <w:r>
        <w:rPr>
          <w:rFonts w:ascii="Calibri" w:hAnsi="Calibri"/>
          <w:vertAlign w:val="superscript"/>
        </w:rPr>
        <w:t>3</w:t>
      </w:r>
      <w:r>
        <w:rPr>
          <w:rFonts w:ascii="Calibri" w:hAnsi="Calibri"/>
        </w:rPr>
        <w:t xml:space="preserve">) vers des flacons en verre borosilicate 125cm3 en utilisant un tuyau </w:t>
      </w:r>
      <w:proofErr w:type="spellStart"/>
      <w:r>
        <w:rPr>
          <w:rFonts w:ascii="Calibri" w:hAnsi="Calibri"/>
        </w:rPr>
        <w:t>Tygon</w:t>
      </w:r>
      <w:proofErr w:type="spellEnd"/>
      <w:r>
        <w:rPr>
          <w:rFonts w:ascii="Calibri" w:hAnsi="Calibri"/>
        </w:rPr>
        <w:t>®. Les flacons ont été remplis par débordement de l’équivalent de 3 fois le volume, la température de l’échantillon a é</w:t>
      </w:r>
      <w:r>
        <w:rPr>
          <w:rFonts w:ascii="Calibri" w:hAnsi="Calibri"/>
        </w:rPr>
        <w:t xml:space="preserve">té prise lors du remplissage afin de corriger des variations de volume liées aux changements thermique par rapport à l’étalonnage des flacons effectué à 20°C et au calcul de la masse volumique de l’échantillon. L’oxygène dissous </w:t>
      </w:r>
      <w:r w:rsidR="003D523C">
        <w:t xml:space="preserve">méthode utilisée pour le dosage de l'oxygène dissous est la méthode de Winkler (1888), modifiée par </w:t>
      </w:r>
      <w:hyperlink r:id="rId7" w:anchor="biblio" w:history="1">
        <w:r w:rsidR="003D523C">
          <w:rPr>
            <w:rStyle w:val="Lienhypertexte"/>
          </w:rPr>
          <w:t>Carpenter (1965)</w:t>
        </w:r>
      </w:hyperlink>
      <w:r w:rsidR="003D523C">
        <w:t xml:space="preserve"> et </w:t>
      </w:r>
      <w:hyperlink r:id="rId8" w:anchor="biblio" w:history="1">
        <w:proofErr w:type="spellStart"/>
        <w:r w:rsidR="003D523C">
          <w:rPr>
            <w:rStyle w:val="Lienhypertexte"/>
          </w:rPr>
          <w:t>Carritt</w:t>
        </w:r>
        <w:proofErr w:type="spellEnd"/>
        <w:r w:rsidR="003D523C">
          <w:rPr>
            <w:rStyle w:val="Lienhypertexte"/>
          </w:rPr>
          <w:t xml:space="preserve"> &amp; Carpenter (1966)</w:t>
        </w:r>
      </w:hyperlink>
      <w:r>
        <w:rPr>
          <w:rFonts w:ascii="Calibri" w:hAnsi="Calibri"/>
        </w:rPr>
        <w:t>. Les échantillons sont conservés à l’obscurité dans l’eau et à température du laboratoire jusqu'à leurs analyses.</w:t>
      </w:r>
    </w:p>
    <w:p w:rsidR="001277C6" w:rsidRDefault="001277C6">
      <w:pPr>
        <w:pStyle w:val="NormalWeb"/>
        <w:rPr>
          <w:rFonts w:ascii="Calibri" w:hAnsi="Calibri"/>
        </w:rPr>
      </w:pPr>
    </w:p>
    <w:p w:rsidR="001277C6" w:rsidRDefault="00CA4C76">
      <w:pPr>
        <w:pStyle w:val="NormalWeb"/>
        <w:jc w:val="both"/>
        <w:rPr>
          <w:rFonts w:ascii="Calibri" w:hAnsi="Calibri"/>
        </w:rPr>
      </w:pPr>
      <w:r>
        <w:rPr>
          <w:rFonts w:ascii="Calibri" w:hAnsi="Calibri"/>
        </w:rPr>
        <w:t xml:space="preserve">Pour la mesure de l'oxygène dissous, les dosages chimiques ont </w:t>
      </w:r>
      <w:r>
        <w:rPr>
          <w:rFonts w:ascii="Calibri" w:hAnsi="Calibri"/>
        </w:rPr>
        <w:t xml:space="preserve">été effectués par la méthode de Winkler selon le protocole décrit dans </w:t>
      </w:r>
      <w:proofErr w:type="spellStart"/>
      <w:r>
        <w:rPr>
          <w:rFonts w:ascii="Calibri" w:hAnsi="Calibri"/>
        </w:rPr>
        <w:t>Culberson</w:t>
      </w:r>
      <w:proofErr w:type="spellEnd"/>
      <w:r>
        <w:rPr>
          <w:rFonts w:ascii="Calibri" w:hAnsi="Calibri"/>
        </w:rPr>
        <w:t xml:space="preserve"> (1991) et Dickson (1996). La détermination des concentrations d’oxygène a été effectuée en partie selon la méthode photométrique (Williams, </w:t>
      </w:r>
      <w:proofErr w:type="spellStart"/>
      <w:r>
        <w:rPr>
          <w:rFonts w:ascii="Calibri" w:hAnsi="Calibri"/>
        </w:rPr>
        <w:t>Jenkinson</w:t>
      </w:r>
      <w:proofErr w:type="spellEnd"/>
      <w:r>
        <w:rPr>
          <w:rFonts w:ascii="Calibri" w:hAnsi="Calibri"/>
        </w:rPr>
        <w:t xml:space="preserve"> 1982) et en partie selon </w:t>
      </w:r>
      <w:r>
        <w:rPr>
          <w:rFonts w:ascii="Calibri" w:hAnsi="Calibri"/>
        </w:rPr>
        <w:t xml:space="preserve">la méthode </w:t>
      </w:r>
      <w:proofErr w:type="spellStart"/>
      <w:r>
        <w:rPr>
          <w:rFonts w:ascii="Calibri" w:hAnsi="Calibri"/>
        </w:rPr>
        <w:t>potentiométrique</w:t>
      </w:r>
      <w:proofErr w:type="spellEnd"/>
      <w:r>
        <w:rPr>
          <w:rFonts w:ascii="Calibri" w:hAnsi="Calibri"/>
        </w:rPr>
        <w:t xml:space="preserve"> (</w:t>
      </w:r>
      <w:proofErr w:type="spellStart"/>
      <w:r>
        <w:rPr>
          <w:rFonts w:ascii="Calibri" w:hAnsi="Calibri"/>
        </w:rPr>
        <w:t>Titrino</w:t>
      </w:r>
      <w:proofErr w:type="spellEnd"/>
      <w:r>
        <w:rPr>
          <w:rFonts w:ascii="Calibri" w:hAnsi="Calibri"/>
        </w:rPr>
        <w:t xml:space="preserve"> 716 DMS </w:t>
      </w:r>
      <w:proofErr w:type="spellStart"/>
      <w:r>
        <w:rPr>
          <w:rFonts w:ascii="Calibri" w:hAnsi="Calibri"/>
        </w:rPr>
        <w:t>Metrohm</w:t>
      </w:r>
      <w:proofErr w:type="spellEnd"/>
      <w:r>
        <w:rPr>
          <w:rFonts w:ascii="Calibri" w:hAnsi="Calibri"/>
        </w:rPr>
        <w:t xml:space="preserve">®). Le thiosulfate a été étalonné de manière journalière à partir de solution de KIO3 0.01N (CSK Standard Solution Potassium Iodate </w:t>
      </w:r>
      <w:proofErr w:type="spellStart"/>
      <w:r>
        <w:rPr>
          <w:rFonts w:ascii="Calibri" w:hAnsi="Calibri"/>
        </w:rPr>
        <w:t>Wako</w:t>
      </w:r>
      <w:proofErr w:type="spellEnd"/>
      <w:r w:rsidR="009B54EA">
        <w:rPr>
          <w:rFonts w:ascii="Calibri" w:hAnsi="Calibri"/>
        </w:rPr>
        <w:t>®</w:t>
      </w:r>
      <w:r>
        <w:rPr>
          <w:rFonts w:ascii="Calibri" w:hAnsi="Calibri"/>
        </w:rPr>
        <w:t>)</w:t>
      </w:r>
      <w:r w:rsidR="009B54EA">
        <w:rPr>
          <w:rFonts w:ascii="Calibri" w:hAnsi="Calibri"/>
        </w:rPr>
        <w:t>.</w:t>
      </w:r>
    </w:p>
    <w:p w:rsidR="007F7529" w:rsidRDefault="007F7529" w:rsidP="007F7529">
      <w:pPr>
        <w:pStyle w:val="NormalWeb"/>
      </w:pPr>
      <w:r>
        <w:rPr>
          <w:rFonts w:ascii="Calibri" w:hAnsi="Calibri"/>
        </w:rPr>
        <w:t>Les données Winkler O</w:t>
      </w:r>
      <w:r>
        <w:rPr>
          <w:rFonts w:ascii="Calibri" w:hAnsi="Calibri"/>
          <w:vertAlign w:val="subscript"/>
        </w:rPr>
        <w:t>2</w:t>
      </w:r>
      <w:r>
        <w:rPr>
          <w:rFonts w:ascii="Calibri" w:hAnsi="Calibri"/>
        </w:rPr>
        <w:t xml:space="preserve"> ont été converties de µM vers µmol kg-1 en normalisant par la densité calculée à partir de la salinité pratique et la température de fixation de l'échantillon (</w:t>
      </w:r>
      <w:proofErr w:type="spellStart"/>
      <w:r>
        <w:rPr>
          <w:rFonts w:ascii="Calibri" w:hAnsi="Calibri"/>
        </w:rPr>
        <w:t>cf</w:t>
      </w:r>
      <w:proofErr w:type="spellEnd"/>
      <w:r>
        <w:rPr>
          <w:rFonts w:ascii="Calibri" w:hAnsi="Calibri"/>
        </w:rPr>
        <w:t xml:space="preserve"> Dickson 199</w:t>
      </w:r>
      <w:r>
        <w:rPr>
          <w:rFonts w:ascii="Calibri" w:hAnsi="Calibri"/>
        </w:rPr>
        <w:t>6</w:t>
      </w:r>
      <w:r>
        <w:rPr>
          <w:rFonts w:ascii="Calibri" w:hAnsi="Calibri"/>
        </w:rPr>
        <w:t xml:space="preserve">, </w:t>
      </w:r>
      <w:r>
        <w:rPr>
          <w:rFonts w:ascii="Calibri" w:hAnsi="Calibri"/>
        </w:rPr>
        <w:t>1991).</w:t>
      </w:r>
    </w:p>
    <w:p w:rsidR="001277C6" w:rsidRDefault="00CA4C76">
      <w:pPr>
        <w:pStyle w:val="NormalWeb"/>
        <w:rPr>
          <w:rFonts w:ascii="Calibri" w:hAnsi="Calibri"/>
        </w:rPr>
      </w:pPr>
      <w:r>
        <w:rPr>
          <w:rFonts w:ascii="Calibri" w:hAnsi="Calibri"/>
        </w:rPr>
        <w:t>.</w:t>
      </w:r>
    </w:p>
    <w:p w:rsidR="001277C6" w:rsidRDefault="001277C6">
      <w:pPr>
        <w:pStyle w:val="NormalWeb"/>
        <w:rPr>
          <w:rFonts w:ascii="Calibri" w:hAnsi="Calibri"/>
        </w:rPr>
      </w:pPr>
    </w:p>
    <w:p w:rsidR="001277C6" w:rsidRPr="009B54EA" w:rsidRDefault="00CA4C76" w:rsidP="005E2375">
      <w:pPr>
        <w:pStyle w:val="NormalWeb"/>
        <w:numPr>
          <w:ilvl w:val="0"/>
          <w:numId w:val="1"/>
        </w:numPr>
        <w:rPr>
          <w:sz w:val="28"/>
        </w:rPr>
      </w:pPr>
      <w:r w:rsidRPr="009B54EA">
        <w:rPr>
          <w:rFonts w:ascii="Calibri" w:hAnsi="Calibri"/>
          <w:sz w:val="28"/>
        </w:rPr>
        <w:t>Traitement des données</w:t>
      </w:r>
      <w:r w:rsidRPr="009B54EA">
        <w:rPr>
          <w:rFonts w:ascii="Calibri" w:hAnsi="Calibri"/>
          <w:sz w:val="28"/>
        </w:rPr>
        <w:t xml:space="preserve"> de</w:t>
      </w:r>
      <w:r w:rsidR="0053176F">
        <w:rPr>
          <w:rFonts w:ascii="Calibri" w:hAnsi="Calibri"/>
          <w:sz w:val="28"/>
        </w:rPr>
        <w:t>s données</w:t>
      </w:r>
      <w:r w:rsidRPr="009B54EA">
        <w:rPr>
          <w:rFonts w:ascii="Calibri" w:hAnsi="Calibri"/>
          <w:sz w:val="28"/>
        </w:rPr>
        <w:t xml:space="preserve"> O</w:t>
      </w:r>
      <w:r w:rsidRPr="009B54EA">
        <w:rPr>
          <w:rFonts w:ascii="Calibri" w:hAnsi="Calibri"/>
          <w:sz w:val="28"/>
          <w:vertAlign w:val="subscript"/>
        </w:rPr>
        <w:t>2</w:t>
      </w:r>
      <w:r w:rsidRPr="009B54EA">
        <w:rPr>
          <w:rFonts w:ascii="Calibri" w:hAnsi="Calibri"/>
          <w:sz w:val="28"/>
        </w:rPr>
        <w:t xml:space="preserve"> acquises par la sonde SBE43 de la rosette (O2SBE43)</w:t>
      </w:r>
    </w:p>
    <w:p w:rsidR="001277C6" w:rsidRDefault="00CA4C76" w:rsidP="005E2375">
      <w:pPr>
        <w:pStyle w:val="NormalWeb"/>
        <w:ind w:left="360"/>
        <w:rPr>
          <w:rFonts w:ascii="Calibri" w:hAnsi="Calibri"/>
        </w:rPr>
      </w:pPr>
      <w:r>
        <w:rPr>
          <w:rFonts w:ascii="Calibri" w:hAnsi="Calibri"/>
        </w:rPr>
        <w:t xml:space="preserve">Le traitement des données a été effectué en suivant la procédure de l’application note 64-2 </w:t>
      </w:r>
      <w:proofErr w:type="spellStart"/>
      <w:r>
        <w:rPr>
          <w:rFonts w:ascii="Calibri" w:hAnsi="Calibri"/>
        </w:rPr>
        <w:t>Seabird</w:t>
      </w:r>
      <w:proofErr w:type="spellEnd"/>
      <w:r>
        <w:rPr>
          <w:rFonts w:ascii="Calibri" w:hAnsi="Calibri"/>
        </w:rPr>
        <w:t xml:space="preserve"> et décrite dans la figure 2 </w:t>
      </w:r>
    </w:p>
    <w:p w:rsidR="001277C6" w:rsidRDefault="00CA4C76">
      <w:pPr>
        <w:pStyle w:val="NormalWeb"/>
        <w:jc w:val="center"/>
        <w:rPr>
          <w:rFonts w:ascii="Calibri" w:hAnsi="Calibri"/>
        </w:rPr>
      </w:pPr>
      <w:r>
        <w:rPr>
          <w:noProof/>
          <w:lang w:val="en-GB" w:eastAsia="en-GB"/>
        </w:rPr>
        <w:drawing>
          <wp:inline distT="0" distB="0" distL="0" distR="6350" wp14:anchorId="0202AAC7" wp14:editId="3B5E5734">
            <wp:extent cx="5745193" cy="4268091"/>
            <wp:effectExtent l="0" t="0" r="8255" b="0"/>
            <wp:docPr id="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6"/>
                    <pic:cNvPicPr>
                      <a:picLocks noChangeAspect="1" noChangeArrowheads="1"/>
                    </pic:cNvPicPr>
                  </pic:nvPicPr>
                  <pic:blipFill>
                    <a:blip r:embed="rId9"/>
                    <a:stretch>
                      <a:fillRect/>
                    </a:stretch>
                  </pic:blipFill>
                  <pic:spPr bwMode="auto">
                    <a:xfrm>
                      <a:off x="0" y="0"/>
                      <a:ext cx="5752047" cy="4273183"/>
                    </a:xfrm>
                    <a:prstGeom prst="rect">
                      <a:avLst/>
                    </a:prstGeom>
                  </pic:spPr>
                </pic:pic>
              </a:graphicData>
            </a:graphic>
          </wp:inline>
        </w:drawing>
      </w:r>
    </w:p>
    <w:p w:rsidR="001277C6" w:rsidRDefault="00CA4C76">
      <w:pPr>
        <w:pStyle w:val="NormalWeb"/>
        <w:rPr>
          <w:rFonts w:ascii="Calibri" w:hAnsi="Calibri"/>
          <w:i/>
          <w:sz w:val="20"/>
        </w:rPr>
      </w:pPr>
      <w:r>
        <w:rPr>
          <w:rFonts w:ascii="Calibri" w:hAnsi="Calibri"/>
          <w:i/>
          <w:sz w:val="20"/>
        </w:rPr>
        <w:t>Figure 2 : Algorithme de traitement des données discrètes O</w:t>
      </w:r>
      <w:r>
        <w:rPr>
          <w:rFonts w:ascii="Calibri" w:hAnsi="Calibri"/>
          <w:i/>
          <w:sz w:val="20"/>
          <w:vertAlign w:val="subscript"/>
        </w:rPr>
        <w:t>2</w:t>
      </w:r>
      <w:r>
        <w:rPr>
          <w:rFonts w:ascii="Calibri" w:hAnsi="Calibri"/>
          <w:i/>
          <w:sz w:val="20"/>
        </w:rPr>
        <w:t xml:space="preserve"> pour </w:t>
      </w:r>
      <w:r>
        <w:rPr>
          <w:rFonts w:ascii="Calibri" w:hAnsi="Calibri"/>
          <w:i/>
          <w:sz w:val="20"/>
        </w:rPr>
        <w:t>l’étalonnage des données du capteur SBE43.</w:t>
      </w:r>
    </w:p>
    <w:p w:rsidR="001277C6" w:rsidRDefault="00CA4C76">
      <w:pPr>
        <w:pStyle w:val="NormalWeb"/>
      </w:pPr>
      <w:r>
        <w:rPr>
          <w:rFonts w:ascii="Calibri" w:hAnsi="Calibri"/>
        </w:rPr>
        <w:t xml:space="preserve">Dans la procédure il est important de noter que les 3 paramètres SOC, </w:t>
      </w:r>
      <w:proofErr w:type="spellStart"/>
      <w:r>
        <w:rPr>
          <w:rFonts w:ascii="Calibri" w:hAnsi="Calibri"/>
        </w:rPr>
        <w:t>OffSet</w:t>
      </w:r>
      <w:proofErr w:type="spellEnd"/>
      <w:r>
        <w:rPr>
          <w:rFonts w:ascii="Calibri" w:hAnsi="Calibri"/>
        </w:rPr>
        <w:t xml:space="preserve"> et E ont été ajustés par la procédure d’optimisation </w:t>
      </w:r>
      <w:r>
        <w:rPr>
          <w:rFonts w:ascii="Calibri" w:hAnsi="Calibri"/>
        </w:rPr>
        <w:t>entre</w:t>
      </w:r>
      <w:r>
        <w:rPr>
          <w:rFonts w:ascii="Calibri" w:hAnsi="Calibri"/>
        </w:rPr>
        <w:t xml:space="preserve"> les données Winkler </w:t>
      </w:r>
      <w:r>
        <w:rPr>
          <w:rFonts w:ascii="Calibri" w:hAnsi="Calibri"/>
        </w:rPr>
        <w:t xml:space="preserve">(O2W) </w:t>
      </w:r>
      <w:r>
        <w:rPr>
          <w:rFonts w:ascii="Calibri" w:hAnsi="Calibri"/>
        </w:rPr>
        <w:t xml:space="preserve">et les données </w:t>
      </w:r>
      <w:r>
        <w:rPr>
          <w:rFonts w:ascii="Calibri" w:hAnsi="Calibri"/>
        </w:rPr>
        <w:t xml:space="preserve">O2SBE43 </w:t>
      </w:r>
      <w:r>
        <w:rPr>
          <w:rFonts w:ascii="Calibri" w:hAnsi="Calibri"/>
        </w:rPr>
        <w:t>du fichier bouteilles iss</w:t>
      </w:r>
      <w:r>
        <w:rPr>
          <w:rFonts w:ascii="Calibri" w:hAnsi="Calibri"/>
        </w:rPr>
        <w:t>ues du profil de remontée.</w:t>
      </w:r>
    </w:p>
    <w:p w:rsidR="001277C6" w:rsidRDefault="00CA4C76">
      <w:pPr>
        <w:pStyle w:val="NormalWeb"/>
        <w:rPr>
          <w:rFonts w:ascii="Calibri" w:hAnsi="Calibri"/>
        </w:rPr>
      </w:pPr>
      <w:r>
        <w:rPr>
          <w:rFonts w:ascii="Calibri" w:hAnsi="Calibri"/>
        </w:rPr>
        <w:t xml:space="preserve">Les données O2-SBE43 sont exprimées en µmol kg-1 à partir de la solubilité issue de Garcia Gordon 1992, coefficients Benson &amp; </w:t>
      </w:r>
      <w:proofErr w:type="spellStart"/>
      <w:r>
        <w:rPr>
          <w:rFonts w:ascii="Calibri" w:hAnsi="Calibri"/>
        </w:rPr>
        <w:t>Krause</w:t>
      </w:r>
      <w:proofErr w:type="spellEnd"/>
      <w:r>
        <w:rPr>
          <w:rFonts w:ascii="Calibri" w:hAnsi="Calibri"/>
        </w:rPr>
        <w:t>.</w:t>
      </w:r>
    </w:p>
    <w:p w:rsidR="001277C6" w:rsidRDefault="00CA4C76">
      <w:pPr>
        <w:pStyle w:val="NormalWeb"/>
        <w:rPr>
          <w:rFonts w:ascii="Calibri" w:hAnsi="Calibri"/>
        </w:rPr>
      </w:pPr>
      <w:r>
        <w:rPr>
          <w:rFonts w:ascii="Calibri" w:hAnsi="Calibri"/>
        </w:rPr>
        <w:t>Les valeurs des coefficients d’étalonnage du capteur SBE43 avant et après le processus d’optimisation à partir de l’utilis</w:t>
      </w:r>
      <w:r>
        <w:rPr>
          <w:rFonts w:ascii="Calibri" w:hAnsi="Calibri"/>
        </w:rPr>
        <w:t>ation des échantillons discrets Winkler  sont présenté</w:t>
      </w:r>
      <w:r w:rsidR="007F7529">
        <w:rPr>
          <w:rFonts w:ascii="Calibri" w:hAnsi="Calibri"/>
        </w:rPr>
        <w:t>e</w:t>
      </w:r>
      <w:r>
        <w:rPr>
          <w:rFonts w:ascii="Calibri" w:hAnsi="Calibri"/>
        </w:rPr>
        <w:t>s dans le tableau 1.</w:t>
      </w:r>
    </w:p>
    <w:p w:rsidR="001277C6" w:rsidRDefault="00CA4C76">
      <w:pPr>
        <w:pStyle w:val="NormalWeb"/>
        <w:rPr>
          <w:rFonts w:ascii="Calibri" w:hAnsi="Calibri"/>
          <w:i/>
          <w:sz w:val="20"/>
        </w:rPr>
      </w:pPr>
      <w:r>
        <w:rPr>
          <w:rFonts w:ascii="Calibri" w:hAnsi="Calibri"/>
          <w:i/>
          <w:sz w:val="20"/>
        </w:rPr>
        <w:t>Tableau 1 : Coefficients d’étalonnage du SBE 43 SN#0514.</w:t>
      </w:r>
    </w:p>
    <w:tbl>
      <w:tblPr>
        <w:tblStyle w:val="Grilledutableau"/>
        <w:tblW w:w="9288" w:type="dxa"/>
        <w:tblLook w:val="04A0" w:firstRow="1" w:lastRow="0" w:firstColumn="1" w:lastColumn="0" w:noHBand="0" w:noVBand="1"/>
      </w:tblPr>
      <w:tblGrid>
        <w:gridCol w:w="3096"/>
        <w:gridCol w:w="3096"/>
        <w:gridCol w:w="3096"/>
      </w:tblGrid>
      <w:tr w:rsidR="001277C6">
        <w:tc>
          <w:tcPr>
            <w:tcW w:w="3096" w:type="dxa"/>
            <w:shd w:val="clear" w:color="auto" w:fill="auto"/>
            <w:tcMar>
              <w:left w:w="108" w:type="dxa"/>
            </w:tcMar>
          </w:tcPr>
          <w:p w:rsidR="001277C6" w:rsidRDefault="001277C6">
            <w:pPr>
              <w:spacing w:after="0" w:line="240" w:lineRule="auto"/>
              <w:rPr>
                <w:rFonts w:ascii="Calibri" w:hAnsi="Calibri"/>
                <w:szCs w:val="24"/>
                <w:lang w:val="fr-FR"/>
              </w:rPr>
            </w:pPr>
          </w:p>
        </w:tc>
        <w:tc>
          <w:tcPr>
            <w:tcW w:w="3096" w:type="dxa"/>
            <w:shd w:val="clear" w:color="auto" w:fill="auto"/>
            <w:tcMar>
              <w:left w:w="108" w:type="dxa"/>
            </w:tcMar>
          </w:tcPr>
          <w:p w:rsidR="001277C6" w:rsidRDefault="00CA4C76">
            <w:pPr>
              <w:spacing w:after="0" w:line="240" w:lineRule="auto"/>
              <w:jc w:val="center"/>
              <w:rPr>
                <w:rFonts w:ascii="Calibri" w:hAnsi="Calibri"/>
                <w:b/>
                <w:szCs w:val="24"/>
                <w:lang w:val="fr-FR"/>
              </w:rPr>
            </w:pPr>
            <w:r>
              <w:rPr>
                <w:b/>
                <w:szCs w:val="24"/>
                <w:lang w:val="fr-FR"/>
              </w:rPr>
              <w:t>New</w:t>
            </w:r>
          </w:p>
        </w:tc>
        <w:tc>
          <w:tcPr>
            <w:tcW w:w="3096" w:type="dxa"/>
            <w:shd w:val="clear" w:color="auto" w:fill="auto"/>
            <w:tcMar>
              <w:left w:w="108" w:type="dxa"/>
            </w:tcMar>
          </w:tcPr>
          <w:p w:rsidR="001277C6" w:rsidRDefault="00CA4C76">
            <w:pPr>
              <w:spacing w:after="0" w:line="240" w:lineRule="auto"/>
              <w:jc w:val="center"/>
              <w:rPr>
                <w:rFonts w:ascii="Calibri" w:hAnsi="Calibri"/>
                <w:szCs w:val="24"/>
                <w:lang w:val="fr-FR"/>
              </w:rPr>
            </w:pPr>
            <w:r>
              <w:rPr>
                <w:szCs w:val="24"/>
                <w:lang w:val="fr-FR"/>
              </w:rPr>
              <w:t>Original</w:t>
            </w:r>
          </w:p>
        </w:tc>
      </w:tr>
      <w:tr w:rsidR="001277C6">
        <w:tc>
          <w:tcPr>
            <w:tcW w:w="3096" w:type="dxa"/>
            <w:shd w:val="clear" w:color="auto" w:fill="auto"/>
            <w:tcMar>
              <w:left w:w="108" w:type="dxa"/>
            </w:tcMar>
          </w:tcPr>
          <w:p w:rsidR="001277C6" w:rsidRDefault="00CA4C76">
            <w:pPr>
              <w:spacing w:after="0" w:line="240" w:lineRule="auto"/>
              <w:rPr>
                <w:rFonts w:ascii="Calibri" w:hAnsi="Calibri"/>
                <w:szCs w:val="24"/>
                <w:lang w:val="fr-FR"/>
              </w:rPr>
            </w:pPr>
            <w:r>
              <w:rPr>
                <w:szCs w:val="24"/>
                <w:lang w:val="fr-FR"/>
              </w:rPr>
              <w:t>Soc</w:t>
            </w:r>
          </w:p>
        </w:tc>
        <w:tc>
          <w:tcPr>
            <w:tcW w:w="3096" w:type="dxa"/>
            <w:shd w:val="clear" w:color="auto" w:fill="auto"/>
            <w:tcMar>
              <w:left w:w="108" w:type="dxa"/>
            </w:tcMar>
          </w:tcPr>
          <w:p w:rsidR="001277C6" w:rsidRDefault="00CA4C76">
            <w:pPr>
              <w:spacing w:after="0" w:line="240" w:lineRule="auto"/>
              <w:jc w:val="center"/>
              <w:rPr>
                <w:rFonts w:ascii="Calibri" w:hAnsi="Calibri"/>
                <w:b/>
                <w:szCs w:val="24"/>
                <w:lang w:val="fr-FR"/>
              </w:rPr>
            </w:pPr>
            <w:r>
              <w:rPr>
                <w:b/>
                <w:szCs w:val="24"/>
                <w:lang w:val="fr-FR"/>
              </w:rPr>
              <w:t>4.9233E-01</w:t>
            </w:r>
          </w:p>
        </w:tc>
        <w:tc>
          <w:tcPr>
            <w:tcW w:w="3096" w:type="dxa"/>
            <w:shd w:val="clear" w:color="auto" w:fill="auto"/>
            <w:tcMar>
              <w:left w:w="108" w:type="dxa"/>
            </w:tcMar>
          </w:tcPr>
          <w:p w:rsidR="001277C6" w:rsidRDefault="00CA4C76">
            <w:pPr>
              <w:spacing w:after="0" w:line="240" w:lineRule="auto"/>
              <w:jc w:val="center"/>
              <w:rPr>
                <w:rFonts w:ascii="Calibri" w:hAnsi="Calibri"/>
                <w:szCs w:val="24"/>
                <w:lang w:val="fr-FR"/>
              </w:rPr>
            </w:pPr>
            <w:r>
              <w:rPr>
                <w:szCs w:val="24"/>
                <w:lang w:val="fr-FR"/>
              </w:rPr>
              <w:t>4.6864E-01</w:t>
            </w:r>
          </w:p>
        </w:tc>
      </w:tr>
      <w:tr w:rsidR="001277C6">
        <w:tc>
          <w:tcPr>
            <w:tcW w:w="3096" w:type="dxa"/>
            <w:shd w:val="clear" w:color="auto" w:fill="auto"/>
            <w:tcMar>
              <w:left w:w="108" w:type="dxa"/>
            </w:tcMar>
          </w:tcPr>
          <w:p w:rsidR="001277C6" w:rsidRDefault="00CA4C76">
            <w:pPr>
              <w:spacing w:after="0" w:line="240" w:lineRule="auto"/>
              <w:rPr>
                <w:rFonts w:ascii="Calibri" w:hAnsi="Calibri"/>
                <w:szCs w:val="24"/>
                <w:lang w:val="fr-FR"/>
              </w:rPr>
            </w:pPr>
            <w:r>
              <w:rPr>
                <w:szCs w:val="24"/>
                <w:lang w:val="fr-FR"/>
              </w:rPr>
              <w:t>Offset</w:t>
            </w:r>
          </w:p>
        </w:tc>
        <w:tc>
          <w:tcPr>
            <w:tcW w:w="3096" w:type="dxa"/>
            <w:shd w:val="clear" w:color="auto" w:fill="auto"/>
            <w:tcMar>
              <w:left w:w="108" w:type="dxa"/>
            </w:tcMar>
          </w:tcPr>
          <w:p w:rsidR="001277C6" w:rsidRDefault="00CA4C76">
            <w:pPr>
              <w:spacing w:after="0" w:line="240" w:lineRule="auto"/>
              <w:jc w:val="center"/>
              <w:rPr>
                <w:rFonts w:ascii="Calibri" w:hAnsi="Calibri"/>
                <w:b/>
                <w:szCs w:val="24"/>
                <w:lang w:val="fr-FR"/>
              </w:rPr>
            </w:pPr>
            <w:r>
              <w:rPr>
                <w:b/>
                <w:szCs w:val="24"/>
                <w:lang w:val="fr-FR"/>
              </w:rPr>
              <w:t>-4.8410E-01</w:t>
            </w:r>
          </w:p>
        </w:tc>
        <w:tc>
          <w:tcPr>
            <w:tcW w:w="3096" w:type="dxa"/>
            <w:shd w:val="clear" w:color="auto" w:fill="auto"/>
            <w:tcMar>
              <w:left w:w="108" w:type="dxa"/>
            </w:tcMar>
          </w:tcPr>
          <w:p w:rsidR="001277C6" w:rsidRDefault="00CA4C76">
            <w:pPr>
              <w:spacing w:after="0" w:line="240" w:lineRule="auto"/>
              <w:jc w:val="center"/>
              <w:rPr>
                <w:rFonts w:ascii="Calibri" w:hAnsi="Calibri"/>
                <w:szCs w:val="24"/>
                <w:lang w:val="fr-FR"/>
              </w:rPr>
            </w:pPr>
            <w:r>
              <w:rPr>
                <w:szCs w:val="24"/>
                <w:lang w:val="fr-FR"/>
              </w:rPr>
              <w:t>-5.0640E-01</w:t>
            </w:r>
          </w:p>
        </w:tc>
      </w:tr>
      <w:tr w:rsidR="001277C6">
        <w:tc>
          <w:tcPr>
            <w:tcW w:w="3096" w:type="dxa"/>
            <w:shd w:val="clear" w:color="auto" w:fill="auto"/>
            <w:tcMar>
              <w:left w:w="108" w:type="dxa"/>
            </w:tcMar>
          </w:tcPr>
          <w:p w:rsidR="001277C6" w:rsidRDefault="00CA4C76">
            <w:pPr>
              <w:spacing w:after="0" w:line="240" w:lineRule="auto"/>
              <w:rPr>
                <w:rFonts w:ascii="Calibri" w:hAnsi="Calibri"/>
                <w:szCs w:val="24"/>
                <w:lang w:val="fr-FR"/>
              </w:rPr>
            </w:pPr>
            <w:r>
              <w:rPr>
                <w:szCs w:val="24"/>
                <w:lang w:val="fr-FR"/>
              </w:rPr>
              <w:t>A</w:t>
            </w:r>
          </w:p>
        </w:tc>
        <w:tc>
          <w:tcPr>
            <w:tcW w:w="3096" w:type="dxa"/>
            <w:shd w:val="clear" w:color="auto" w:fill="auto"/>
            <w:tcMar>
              <w:left w:w="108" w:type="dxa"/>
            </w:tcMar>
          </w:tcPr>
          <w:p w:rsidR="001277C6" w:rsidRDefault="00CA4C76">
            <w:pPr>
              <w:spacing w:after="0" w:line="240" w:lineRule="auto"/>
              <w:jc w:val="center"/>
              <w:rPr>
                <w:rFonts w:ascii="Calibri" w:hAnsi="Calibri"/>
                <w:b/>
                <w:szCs w:val="24"/>
                <w:lang w:val="fr-FR"/>
              </w:rPr>
            </w:pPr>
            <w:r>
              <w:rPr>
                <w:b/>
                <w:szCs w:val="24"/>
                <w:lang w:val="fr-FR"/>
              </w:rPr>
              <w:t>-3.3558E-03</w:t>
            </w:r>
          </w:p>
        </w:tc>
        <w:tc>
          <w:tcPr>
            <w:tcW w:w="3096" w:type="dxa"/>
            <w:shd w:val="clear" w:color="auto" w:fill="auto"/>
            <w:tcMar>
              <w:left w:w="108" w:type="dxa"/>
            </w:tcMar>
          </w:tcPr>
          <w:p w:rsidR="001277C6" w:rsidRDefault="00CA4C76">
            <w:pPr>
              <w:spacing w:after="0" w:line="240" w:lineRule="auto"/>
              <w:jc w:val="center"/>
              <w:rPr>
                <w:rFonts w:ascii="Calibri" w:hAnsi="Calibri"/>
                <w:szCs w:val="24"/>
                <w:lang w:val="fr-FR"/>
              </w:rPr>
            </w:pPr>
            <w:r>
              <w:rPr>
                <w:szCs w:val="24"/>
                <w:lang w:val="fr-FR"/>
              </w:rPr>
              <w:t>-3.3558E-03</w:t>
            </w:r>
          </w:p>
        </w:tc>
      </w:tr>
      <w:tr w:rsidR="001277C6">
        <w:tc>
          <w:tcPr>
            <w:tcW w:w="3096" w:type="dxa"/>
            <w:shd w:val="clear" w:color="auto" w:fill="auto"/>
            <w:tcMar>
              <w:left w:w="108" w:type="dxa"/>
            </w:tcMar>
          </w:tcPr>
          <w:p w:rsidR="001277C6" w:rsidRDefault="00CA4C76">
            <w:pPr>
              <w:spacing w:after="0" w:line="240" w:lineRule="auto"/>
              <w:rPr>
                <w:rFonts w:ascii="Calibri" w:hAnsi="Calibri"/>
                <w:szCs w:val="24"/>
                <w:lang w:val="fr-FR"/>
              </w:rPr>
            </w:pPr>
            <w:r>
              <w:rPr>
                <w:szCs w:val="24"/>
                <w:lang w:val="fr-FR"/>
              </w:rPr>
              <w:t>B</w:t>
            </w:r>
          </w:p>
        </w:tc>
        <w:tc>
          <w:tcPr>
            <w:tcW w:w="3096" w:type="dxa"/>
            <w:shd w:val="clear" w:color="auto" w:fill="auto"/>
            <w:tcMar>
              <w:left w:w="108" w:type="dxa"/>
            </w:tcMar>
          </w:tcPr>
          <w:p w:rsidR="001277C6" w:rsidRDefault="00CA4C76">
            <w:pPr>
              <w:spacing w:after="0" w:line="240" w:lineRule="auto"/>
              <w:jc w:val="center"/>
              <w:rPr>
                <w:rFonts w:ascii="Calibri" w:hAnsi="Calibri"/>
                <w:b/>
                <w:szCs w:val="24"/>
                <w:lang w:val="fr-FR"/>
              </w:rPr>
            </w:pPr>
            <w:r>
              <w:rPr>
                <w:b/>
                <w:szCs w:val="24"/>
                <w:lang w:val="fr-FR"/>
              </w:rPr>
              <w:t>1.9182E-04</w:t>
            </w:r>
          </w:p>
        </w:tc>
        <w:tc>
          <w:tcPr>
            <w:tcW w:w="3096" w:type="dxa"/>
            <w:shd w:val="clear" w:color="auto" w:fill="auto"/>
            <w:tcMar>
              <w:left w:w="108" w:type="dxa"/>
            </w:tcMar>
          </w:tcPr>
          <w:p w:rsidR="001277C6" w:rsidRDefault="00CA4C76">
            <w:pPr>
              <w:spacing w:after="0" w:line="240" w:lineRule="auto"/>
              <w:jc w:val="center"/>
              <w:rPr>
                <w:rFonts w:ascii="Calibri" w:hAnsi="Calibri"/>
                <w:szCs w:val="24"/>
                <w:lang w:val="fr-FR"/>
              </w:rPr>
            </w:pPr>
            <w:r>
              <w:rPr>
                <w:szCs w:val="24"/>
                <w:lang w:val="fr-FR"/>
              </w:rPr>
              <w:t>1.9182E-04</w:t>
            </w:r>
          </w:p>
        </w:tc>
      </w:tr>
      <w:tr w:rsidR="001277C6">
        <w:tc>
          <w:tcPr>
            <w:tcW w:w="3096" w:type="dxa"/>
            <w:shd w:val="clear" w:color="auto" w:fill="auto"/>
            <w:tcMar>
              <w:left w:w="108" w:type="dxa"/>
            </w:tcMar>
          </w:tcPr>
          <w:p w:rsidR="001277C6" w:rsidRDefault="00CA4C76">
            <w:pPr>
              <w:spacing w:after="0" w:line="240" w:lineRule="auto"/>
              <w:rPr>
                <w:rFonts w:ascii="Calibri" w:hAnsi="Calibri"/>
                <w:szCs w:val="24"/>
                <w:lang w:val="fr-FR"/>
              </w:rPr>
            </w:pPr>
            <w:r>
              <w:rPr>
                <w:szCs w:val="24"/>
                <w:lang w:val="fr-FR"/>
              </w:rPr>
              <w:t>C</w:t>
            </w:r>
          </w:p>
        </w:tc>
        <w:tc>
          <w:tcPr>
            <w:tcW w:w="3096" w:type="dxa"/>
            <w:shd w:val="clear" w:color="auto" w:fill="auto"/>
            <w:tcMar>
              <w:left w:w="108" w:type="dxa"/>
            </w:tcMar>
          </w:tcPr>
          <w:p w:rsidR="001277C6" w:rsidRDefault="00CA4C76">
            <w:pPr>
              <w:spacing w:after="0" w:line="240" w:lineRule="auto"/>
              <w:jc w:val="center"/>
              <w:rPr>
                <w:rFonts w:ascii="Calibri" w:hAnsi="Calibri"/>
                <w:b/>
                <w:szCs w:val="24"/>
                <w:lang w:val="fr-FR"/>
              </w:rPr>
            </w:pPr>
            <w:r>
              <w:rPr>
                <w:b/>
                <w:szCs w:val="24"/>
                <w:lang w:val="fr-FR"/>
              </w:rPr>
              <w:t>-2.9944E-06</w:t>
            </w:r>
          </w:p>
        </w:tc>
        <w:tc>
          <w:tcPr>
            <w:tcW w:w="3096" w:type="dxa"/>
            <w:shd w:val="clear" w:color="auto" w:fill="auto"/>
            <w:tcMar>
              <w:left w:w="108" w:type="dxa"/>
            </w:tcMar>
          </w:tcPr>
          <w:p w:rsidR="001277C6" w:rsidRDefault="00CA4C76">
            <w:pPr>
              <w:spacing w:after="0" w:line="240" w:lineRule="auto"/>
              <w:jc w:val="center"/>
              <w:rPr>
                <w:rFonts w:ascii="Calibri" w:hAnsi="Calibri"/>
                <w:szCs w:val="24"/>
                <w:lang w:val="fr-FR"/>
              </w:rPr>
            </w:pPr>
            <w:r>
              <w:rPr>
                <w:szCs w:val="24"/>
                <w:lang w:val="fr-FR"/>
              </w:rPr>
              <w:t>-2.9944E-06</w:t>
            </w:r>
          </w:p>
        </w:tc>
      </w:tr>
      <w:tr w:rsidR="001277C6">
        <w:tc>
          <w:tcPr>
            <w:tcW w:w="3096" w:type="dxa"/>
            <w:shd w:val="clear" w:color="auto" w:fill="auto"/>
            <w:tcMar>
              <w:left w:w="108" w:type="dxa"/>
            </w:tcMar>
          </w:tcPr>
          <w:p w:rsidR="001277C6" w:rsidRDefault="00CA4C76">
            <w:pPr>
              <w:spacing w:after="0" w:line="240" w:lineRule="auto"/>
              <w:rPr>
                <w:rFonts w:ascii="Calibri" w:hAnsi="Calibri"/>
                <w:szCs w:val="24"/>
                <w:lang w:val="fr-FR"/>
              </w:rPr>
            </w:pPr>
            <w:r>
              <w:rPr>
                <w:szCs w:val="24"/>
                <w:lang w:val="fr-FR"/>
              </w:rPr>
              <w:t>D0_Outpace</w:t>
            </w:r>
          </w:p>
        </w:tc>
        <w:tc>
          <w:tcPr>
            <w:tcW w:w="3096" w:type="dxa"/>
            <w:shd w:val="clear" w:color="auto" w:fill="auto"/>
            <w:tcMar>
              <w:left w:w="108" w:type="dxa"/>
            </w:tcMar>
          </w:tcPr>
          <w:p w:rsidR="001277C6" w:rsidRDefault="00CA4C76">
            <w:pPr>
              <w:spacing w:after="0" w:line="240" w:lineRule="auto"/>
              <w:jc w:val="center"/>
              <w:rPr>
                <w:rFonts w:ascii="Calibri" w:hAnsi="Calibri"/>
                <w:b/>
                <w:szCs w:val="24"/>
                <w:lang w:val="fr-FR"/>
              </w:rPr>
            </w:pPr>
            <w:r>
              <w:rPr>
                <w:b/>
                <w:szCs w:val="24"/>
                <w:lang w:val="fr-FR"/>
              </w:rPr>
              <w:t>2.5826E+00</w:t>
            </w:r>
          </w:p>
        </w:tc>
        <w:tc>
          <w:tcPr>
            <w:tcW w:w="3096" w:type="dxa"/>
            <w:shd w:val="clear" w:color="auto" w:fill="auto"/>
            <w:tcMar>
              <w:left w:w="108" w:type="dxa"/>
            </w:tcMar>
          </w:tcPr>
          <w:p w:rsidR="001277C6" w:rsidRDefault="00CA4C76">
            <w:pPr>
              <w:spacing w:after="0" w:line="240" w:lineRule="auto"/>
              <w:jc w:val="center"/>
              <w:rPr>
                <w:rFonts w:ascii="Calibri" w:hAnsi="Calibri"/>
                <w:szCs w:val="24"/>
                <w:lang w:val="fr-FR"/>
              </w:rPr>
            </w:pPr>
            <w:r>
              <w:rPr>
                <w:szCs w:val="24"/>
                <w:lang w:val="fr-FR"/>
              </w:rPr>
              <w:t>2.5826E+00</w:t>
            </w:r>
          </w:p>
        </w:tc>
      </w:tr>
      <w:tr w:rsidR="001277C6">
        <w:tc>
          <w:tcPr>
            <w:tcW w:w="3096" w:type="dxa"/>
            <w:shd w:val="clear" w:color="auto" w:fill="auto"/>
            <w:tcMar>
              <w:left w:w="108" w:type="dxa"/>
            </w:tcMar>
          </w:tcPr>
          <w:p w:rsidR="001277C6" w:rsidRDefault="00CA4C76">
            <w:pPr>
              <w:spacing w:after="0" w:line="240" w:lineRule="auto"/>
              <w:rPr>
                <w:rFonts w:ascii="Calibri" w:hAnsi="Calibri"/>
                <w:szCs w:val="24"/>
                <w:lang w:val="fr-FR"/>
              </w:rPr>
            </w:pPr>
            <w:r>
              <w:rPr>
                <w:szCs w:val="24"/>
                <w:lang w:val="fr-FR"/>
              </w:rPr>
              <w:t>D1_Outpace</w:t>
            </w:r>
          </w:p>
        </w:tc>
        <w:tc>
          <w:tcPr>
            <w:tcW w:w="3096" w:type="dxa"/>
            <w:shd w:val="clear" w:color="auto" w:fill="auto"/>
            <w:tcMar>
              <w:left w:w="108" w:type="dxa"/>
            </w:tcMar>
          </w:tcPr>
          <w:p w:rsidR="001277C6" w:rsidRDefault="00CA4C76">
            <w:pPr>
              <w:spacing w:after="0" w:line="240" w:lineRule="auto"/>
              <w:jc w:val="center"/>
              <w:rPr>
                <w:rFonts w:ascii="Calibri" w:hAnsi="Calibri"/>
                <w:b/>
                <w:szCs w:val="24"/>
                <w:lang w:val="fr-FR"/>
              </w:rPr>
            </w:pPr>
            <w:r>
              <w:rPr>
                <w:b/>
                <w:szCs w:val="24"/>
                <w:lang w:val="fr-FR"/>
              </w:rPr>
              <w:t>1.9263E-04</w:t>
            </w:r>
          </w:p>
        </w:tc>
        <w:tc>
          <w:tcPr>
            <w:tcW w:w="3096" w:type="dxa"/>
            <w:shd w:val="clear" w:color="auto" w:fill="auto"/>
            <w:tcMar>
              <w:left w:w="108" w:type="dxa"/>
            </w:tcMar>
          </w:tcPr>
          <w:p w:rsidR="001277C6" w:rsidRDefault="00CA4C76">
            <w:pPr>
              <w:spacing w:after="0" w:line="240" w:lineRule="auto"/>
              <w:jc w:val="center"/>
              <w:rPr>
                <w:rFonts w:ascii="Calibri" w:hAnsi="Calibri"/>
                <w:szCs w:val="24"/>
                <w:lang w:val="fr-FR"/>
              </w:rPr>
            </w:pPr>
            <w:r>
              <w:rPr>
                <w:szCs w:val="24"/>
                <w:lang w:val="fr-FR"/>
              </w:rPr>
              <w:t>1.9263E-04</w:t>
            </w:r>
          </w:p>
        </w:tc>
      </w:tr>
      <w:tr w:rsidR="001277C6">
        <w:tc>
          <w:tcPr>
            <w:tcW w:w="3096" w:type="dxa"/>
            <w:shd w:val="clear" w:color="auto" w:fill="auto"/>
            <w:tcMar>
              <w:left w:w="108" w:type="dxa"/>
            </w:tcMar>
          </w:tcPr>
          <w:p w:rsidR="001277C6" w:rsidRDefault="00CA4C76">
            <w:pPr>
              <w:spacing w:after="0" w:line="240" w:lineRule="auto"/>
              <w:rPr>
                <w:rFonts w:ascii="Calibri" w:hAnsi="Calibri"/>
                <w:szCs w:val="24"/>
                <w:lang w:val="fr-FR"/>
              </w:rPr>
            </w:pPr>
            <w:r>
              <w:rPr>
                <w:szCs w:val="24"/>
                <w:lang w:val="fr-FR"/>
              </w:rPr>
              <w:t>D2_Outpace</w:t>
            </w:r>
          </w:p>
        </w:tc>
        <w:tc>
          <w:tcPr>
            <w:tcW w:w="3096" w:type="dxa"/>
            <w:shd w:val="clear" w:color="auto" w:fill="auto"/>
            <w:tcMar>
              <w:left w:w="108" w:type="dxa"/>
            </w:tcMar>
          </w:tcPr>
          <w:p w:rsidR="001277C6" w:rsidRDefault="00CA4C76">
            <w:pPr>
              <w:spacing w:after="0" w:line="240" w:lineRule="auto"/>
              <w:jc w:val="center"/>
              <w:rPr>
                <w:rFonts w:ascii="Calibri" w:hAnsi="Calibri"/>
                <w:b/>
                <w:szCs w:val="24"/>
                <w:lang w:val="fr-FR"/>
              </w:rPr>
            </w:pPr>
            <w:r>
              <w:rPr>
                <w:b/>
                <w:szCs w:val="24"/>
                <w:lang w:val="fr-FR"/>
              </w:rPr>
              <w:t>-4.6480E-02</w:t>
            </w:r>
          </w:p>
        </w:tc>
        <w:tc>
          <w:tcPr>
            <w:tcW w:w="3096" w:type="dxa"/>
            <w:shd w:val="clear" w:color="auto" w:fill="auto"/>
            <w:tcMar>
              <w:left w:w="108" w:type="dxa"/>
            </w:tcMar>
          </w:tcPr>
          <w:p w:rsidR="001277C6" w:rsidRDefault="00CA4C76">
            <w:pPr>
              <w:spacing w:after="0" w:line="240" w:lineRule="auto"/>
              <w:jc w:val="center"/>
              <w:rPr>
                <w:rFonts w:ascii="Calibri" w:hAnsi="Calibri"/>
                <w:szCs w:val="24"/>
                <w:lang w:val="fr-FR"/>
              </w:rPr>
            </w:pPr>
            <w:r>
              <w:rPr>
                <w:szCs w:val="24"/>
                <w:lang w:val="fr-FR"/>
              </w:rPr>
              <w:t>-4.6480E-02</w:t>
            </w:r>
          </w:p>
        </w:tc>
      </w:tr>
      <w:tr w:rsidR="001277C6">
        <w:tc>
          <w:tcPr>
            <w:tcW w:w="3096" w:type="dxa"/>
            <w:shd w:val="clear" w:color="auto" w:fill="auto"/>
            <w:tcMar>
              <w:left w:w="108" w:type="dxa"/>
            </w:tcMar>
          </w:tcPr>
          <w:p w:rsidR="001277C6" w:rsidRDefault="00CA4C76">
            <w:pPr>
              <w:spacing w:after="0" w:line="240" w:lineRule="auto"/>
              <w:rPr>
                <w:rFonts w:ascii="Calibri" w:hAnsi="Calibri"/>
                <w:szCs w:val="24"/>
                <w:lang w:val="fr-FR"/>
              </w:rPr>
            </w:pPr>
            <w:proofErr w:type="spellStart"/>
            <w:r>
              <w:rPr>
                <w:szCs w:val="24"/>
                <w:lang w:val="fr-FR"/>
              </w:rPr>
              <w:t>E_Outpace</w:t>
            </w:r>
            <w:proofErr w:type="spellEnd"/>
          </w:p>
        </w:tc>
        <w:tc>
          <w:tcPr>
            <w:tcW w:w="3096" w:type="dxa"/>
            <w:shd w:val="clear" w:color="auto" w:fill="auto"/>
            <w:tcMar>
              <w:left w:w="108" w:type="dxa"/>
            </w:tcMar>
          </w:tcPr>
          <w:p w:rsidR="001277C6" w:rsidRDefault="00CA4C76">
            <w:pPr>
              <w:spacing w:after="0" w:line="240" w:lineRule="auto"/>
              <w:jc w:val="center"/>
              <w:rPr>
                <w:rFonts w:ascii="Calibri" w:hAnsi="Calibri"/>
                <w:b/>
                <w:szCs w:val="24"/>
                <w:lang w:val="fr-FR"/>
              </w:rPr>
            </w:pPr>
            <w:r>
              <w:rPr>
                <w:b/>
                <w:szCs w:val="24"/>
                <w:lang w:val="fr-FR"/>
              </w:rPr>
              <w:t>3.5602E-02</w:t>
            </w:r>
          </w:p>
        </w:tc>
        <w:tc>
          <w:tcPr>
            <w:tcW w:w="3096" w:type="dxa"/>
            <w:shd w:val="clear" w:color="auto" w:fill="auto"/>
            <w:tcMar>
              <w:left w:w="108" w:type="dxa"/>
            </w:tcMar>
          </w:tcPr>
          <w:p w:rsidR="001277C6" w:rsidRDefault="00CA4C76">
            <w:pPr>
              <w:spacing w:after="0" w:line="240" w:lineRule="auto"/>
              <w:jc w:val="center"/>
              <w:rPr>
                <w:rFonts w:ascii="Calibri" w:hAnsi="Calibri"/>
                <w:szCs w:val="24"/>
                <w:lang w:val="fr-FR"/>
              </w:rPr>
            </w:pPr>
            <w:r>
              <w:rPr>
                <w:szCs w:val="24"/>
                <w:lang w:val="fr-FR"/>
              </w:rPr>
              <w:t>3.6000E-02</w:t>
            </w:r>
          </w:p>
        </w:tc>
      </w:tr>
      <w:tr w:rsidR="001277C6">
        <w:tc>
          <w:tcPr>
            <w:tcW w:w="3096" w:type="dxa"/>
            <w:shd w:val="clear" w:color="auto" w:fill="auto"/>
            <w:tcMar>
              <w:left w:w="108" w:type="dxa"/>
            </w:tcMar>
          </w:tcPr>
          <w:p w:rsidR="001277C6" w:rsidRDefault="00CA4C76">
            <w:pPr>
              <w:spacing w:after="0" w:line="240" w:lineRule="auto"/>
              <w:rPr>
                <w:rFonts w:ascii="Calibri" w:hAnsi="Calibri"/>
                <w:szCs w:val="24"/>
                <w:lang w:val="fr-FR"/>
              </w:rPr>
            </w:pPr>
            <w:r>
              <w:rPr>
                <w:szCs w:val="24"/>
                <w:lang w:val="fr-FR"/>
              </w:rPr>
              <w:t>Tau20_Outpace</w:t>
            </w:r>
          </w:p>
        </w:tc>
        <w:tc>
          <w:tcPr>
            <w:tcW w:w="3096" w:type="dxa"/>
            <w:shd w:val="clear" w:color="auto" w:fill="auto"/>
            <w:tcMar>
              <w:left w:w="108" w:type="dxa"/>
            </w:tcMar>
          </w:tcPr>
          <w:p w:rsidR="001277C6" w:rsidRDefault="00CA4C76">
            <w:pPr>
              <w:spacing w:after="0" w:line="240" w:lineRule="auto"/>
              <w:jc w:val="center"/>
              <w:rPr>
                <w:rFonts w:ascii="Calibri" w:hAnsi="Calibri"/>
                <w:b/>
                <w:szCs w:val="24"/>
                <w:lang w:val="fr-FR"/>
              </w:rPr>
            </w:pPr>
            <w:r>
              <w:rPr>
                <w:b/>
                <w:szCs w:val="24"/>
                <w:lang w:val="fr-FR"/>
              </w:rPr>
              <w:t>1.3000E+00</w:t>
            </w:r>
          </w:p>
        </w:tc>
        <w:tc>
          <w:tcPr>
            <w:tcW w:w="3096" w:type="dxa"/>
            <w:shd w:val="clear" w:color="auto" w:fill="auto"/>
            <w:tcMar>
              <w:left w:w="108" w:type="dxa"/>
            </w:tcMar>
          </w:tcPr>
          <w:p w:rsidR="001277C6" w:rsidRDefault="00CA4C76">
            <w:pPr>
              <w:spacing w:after="0" w:line="240" w:lineRule="auto"/>
              <w:jc w:val="center"/>
              <w:rPr>
                <w:rFonts w:ascii="Calibri" w:hAnsi="Calibri"/>
                <w:szCs w:val="24"/>
                <w:lang w:val="fr-FR"/>
              </w:rPr>
            </w:pPr>
            <w:r>
              <w:rPr>
                <w:szCs w:val="24"/>
                <w:lang w:val="fr-FR"/>
              </w:rPr>
              <w:t>1.3000E+00</w:t>
            </w:r>
          </w:p>
        </w:tc>
      </w:tr>
      <w:tr w:rsidR="001277C6">
        <w:tc>
          <w:tcPr>
            <w:tcW w:w="3096" w:type="dxa"/>
            <w:shd w:val="clear" w:color="auto" w:fill="auto"/>
            <w:tcMar>
              <w:left w:w="108" w:type="dxa"/>
            </w:tcMar>
          </w:tcPr>
          <w:p w:rsidR="001277C6" w:rsidRDefault="00CA4C76">
            <w:pPr>
              <w:spacing w:after="0" w:line="240" w:lineRule="auto"/>
              <w:rPr>
                <w:rFonts w:ascii="Calibri" w:hAnsi="Calibri"/>
                <w:szCs w:val="24"/>
                <w:lang w:val="fr-FR"/>
              </w:rPr>
            </w:pPr>
            <w:r>
              <w:rPr>
                <w:szCs w:val="24"/>
                <w:lang w:val="fr-FR"/>
              </w:rPr>
              <w:t>H1_Outpace</w:t>
            </w:r>
          </w:p>
        </w:tc>
        <w:tc>
          <w:tcPr>
            <w:tcW w:w="3096" w:type="dxa"/>
            <w:shd w:val="clear" w:color="auto" w:fill="auto"/>
            <w:tcMar>
              <w:left w:w="108" w:type="dxa"/>
            </w:tcMar>
          </w:tcPr>
          <w:p w:rsidR="001277C6" w:rsidRDefault="00CA4C76">
            <w:pPr>
              <w:spacing w:after="0" w:line="240" w:lineRule="auto"/>
              <w:jc w:val="center"/>
              <w:rPr>
                <w:rFonts w:ascii="Calibri" w:hAnsi="Calibri"/>
                <w:b/>
                <w:szCs w:val="24"/>
                <w:lang w:val="fr-FR"/>
              </w:rPr>
            </w:pPr>
            <w:r>
              <w:rPr>
                <w:b/>
                <w:szCs w:val="24"/>
                <w:lang w:val="fr-FR"/>
              </w:rPr>
              <w:t>-3.3000E-02</w:t>
            </w:r>
          </w:p>
        </w:tc>
        <w:tc>
          <w:tcPr>
            <w:tcW w:w="3096" w:type="dxa"/>
            <w:shd w:val="clear" w:color="auto" w:fill="auto"/>
            <w:tcMar>
              <w:left w:w="108" w:type="dxa"/>
            </w:tcMar>
          </w:tcPr>
          <w:p w:rsidR="001277C6" w:rsidRDefault="00CA4C76">
            <w:pPr>
              <w:spacing w:after="0" w:line="240" w:lineRule="auto"/>
              <w:jc w:val="center"/>
              <w:rPr>
                <w:rFonts w:ascii="Calibri" w:hAnsi="Calibri"/>
                <w:szCs w:val="24"/>
                <w:lang w:val="fr-FR"/>
              </w:rPr>
            </w:pPr>
            <w:r>
              <w:rPr>
                <w:szCs w:val="24"/>
                <w:lang w:val="fr-FR"/>
              </w:rPr>
              <w:t>-3.3000E-02</w:t>
            </w:r>
          </w:p>
        </w:tc>
      </w:tr>
      <w:tr w:rsidR="001277C6">
        <w:tc>
          <w:tcPr>
            <w:tcW w:w="3096" w:type="dxa"/>
            <w:shd w:val="clear" w:color="auto" w:fill="auto"/>
            <w:tcMar>
              <w:left w:w="108" w:type="dxa"/>
            </w:tcMar>
          </w:tcPr>
          <w:p w:rsidR="001277C6" w:rsidRDefault="00CA4C76">
            <w:pPr>
              <w:spacing w:after="0" w:line="240" w:lineRule="auto"/>
              <w:rPr>
                <w:rFonts w:ascii="Calibri" w:hAnsi="Calibri"/>
                <w:szCs w:val="24"/>
                <w:lang w:val="fr-FR"/>
              </w:rPr>
            </w:pPr>
            <w:r>
              <w:rPr>
                <w:szCs w:val="24"/>
                <w:lang w:val="fr-FR"/>
              </w:rPr>
              <w:t>H2_Outpace</w:t>
            </w:r>
          </w:p>
        </w:tc>
        <w:tc>
          <w:tcPr>
            <w:tcW w:w="3096" w:type="dxa"/>
            <w:shd w:val="clear" w:color="auto" w:fill="auto"/>
            <w:tcMar>
              <w:left w:w="108" w:type="dxa"/>
            </w:tcMar>
          </w:tcPr>
          <w:p w:rsidR="001277C6" w:rsidRDefault="00CA4C76">
            <w:pPr>
              <w:spacing w:after="0" w:line="240" w:lineRule="auto"/>
              <w:jc w:val="center"/>
              <w:rPr>
                <w:rFonts w:ascii="Calibri" w:hAnsi="Calibri"/>
                <w:b/>
                <w:szCs w:val="24"/>
                <w:lang w:val="fr-FR"/>
              </w:rPr>
            </w:pPr>
            <w:r>
              <w:rPr>
                <w:b/>
                <w:szCs w:val="24"/>
                <w:lang w:val="fr-FR"/>
              </w:rPr>
              <w:t>5.0000E+03</w:t>
            </w:r>
          </w:p>
        </w:tc>
        <w:tc>
          <w:tcPr>
            <w:tcW w:w="3096" w:type="dxa"/>
            <w:shd w:val="clear" w:color="auto" w:fill="auto"/>
            <w:tcMar>
              <w:left w:w="108" w:type="dxa"/>
            </w:tcMar>
          </w:tcPr>
          <w:p w:rsidR="001277C6" w:rsidRDefault="00CA4C76">
            <w:pPr>
              <w:spacing w:after="0" w:line="240" w:lineRule="auto"/>
              <w:jc w:val="center"/>
              <w:rPr>
                <w:rFonts w:ascii="Calibri" w:hAnsi="Calibri"/>
                <w:szCs w:val="24"/>
                <w:lang w:val="fr-FR"/>
              </w:rPr>
            </w:pPr>
            <w:r>
              <w:rPr>
                <w:szCs w:val="24"/>
                <w:lang w:val="fr-FR"/>
              </w:rPr>
              <w:t>5.0000E+03</w:t>
            </w:r>
          </w:p>
        </w:tc>
      </w:tr>
      <w:tr w:rsidR="001277C6">
        <w:tc>
          <w:tcPr>
            <w:tcW w:w="3096" w:type="dxa"/>
            <w:shd w:val="clear" w:color="auto" w:fill="auto"/>
            <w:tcMar>
              <w:left w:w="108" w:type="dxa"/>
            </w:tcMar>
          </w:tcPr>
          <w:p w:rsidR="001277C6" w:rsidRDefault="00CA4C76">
            <w:pPr>
              <w:spacing w:after="0" w:line="240" w:lineRule="auto"/>
              <w:rPr>
                <w:rFonts w:ascii="Calibri" w:hAnsi="Calibri"/>
                <w:szCs w:val="24"/>
                <w:lang w:val="fr-FR"/>
              </w:rPr>
            </w:pPr>
            <w:r>
              <w:rPr>
                <w:szCs w:val="24"/>
                <w:lang w:val="fr-FR"/>
              </w:rPr>
              <w:t>H3_Outpace</w:t>
            </w:r>
          </w:p>
        </w:tc>
        <w:tc>
          <w:tcPr>
            <w:tcW w:w="3096" w:type="dxa"/>
            <w:shd w:val="clear" w:color="auto" w:fill="auto"/>
            <w:tcMar>
              <w:left w:w="108" w:type="dxa"/>
            </w:tcMar>
          </w:tcPr>
          <w:p w:rsidR="001277C6" w:rsidRDefault="00CA4C76">
            <w:pPr>
              <w:spacing w:after="0" w:line="240" w:lineRule="auto"/>
              <w:jc w:val="center"/>
              <w:rPr>
                <w:rFonts w:ascii="Calibri" w:hAnsi="Calibri"/>
                <w:b/>
                <w:szCs w:val="24"/>
                <w:lang w:val="fr-FR"/>
              </w:rPr>
            </w:pPr>
            <w:r>
              <w:rPr>
                <w:b/>
                <w:szCs w:val="24"/>
                <w:lang w:val="fr-FR"/>
              </w:rPr>
              <w:t>1.4500E+03</w:t>
            </w:r>
          </w:p>
        </w:tc>
        <w:tc>
          <w:tcPr>
            <w:tcW w:w="3096" w:type="dxa"/>
            <w:shd w:val="clear" w:color="auto" w:fill="auto"/>
            <w:tcMar>
              <w:left w:w="108" w:type="dxa"/>
            </w:tcMar>
          </w:tcPr>
          <w:p w:rsidR="001277C6" w:rsidRDefault="00CA4C76">
            <w:pPr>
              <w:spacing w:after="0" w:line="240" w:lineRule="auto"/>
              <w:jc w:val="center"/>
              <w:rPr>
                <w:rFonts w:ascii="Calibri" w:hAnsi="Calibri"/>
                <w:szCs w:val="24"/>
                <w:lang w:val="fr-FR"/>
              </w:rPr>
            </w:pPr>
            <w:r>
              <w:rPr>
                <w:szCs w:val="24"/>
                <w:lang w:val="fr-FR"/>
              </w:rPr>
              <w:t>1.4500E+03</w:t>
            </w:r>
          </w:p>
        </w:tc>
      </w:tr>
    </w:tbl>
    <w:p w:rsidR="001277C6" w:rsidRDefault="00CA4C76">
      <w:pPr>
        <w:pStyle w:val="NormalWeb"/>
        <w:rPr>
          <w:rFonts w:ascii="Calibri" w:hAnsi="Calibri"/>
        </w:rPr>
      </w:pPr>
      <w:r>
        <w:rPr>
          <w:rFonts w:ascii="Calibri" w:hAnsi="Calibri"/>
        </w:rPr>
        <w:t>Les Figure 3 et 4 présentes respectivement les relations entre le capteur SBE 43 et la données O2 Winkler avant et après étalonnage (</w:t>
      </w:r>
      <w:proofErr w:type="spellStart"/>
      <w:r>
        <w:rPr>
          <w:rFonts w:ascii="Calibri" w:hAnsi="Calibri"/>
        </w:rPr>
        <w:t>Fig</w:t>
      </w:r>
      <w:proofErr w:type="spellEnd"/>
      <w:r>
        <w:rPr>
          <w:rFonts w:ascii="Calibri" w:hAnsi="Calibri"/>
        </w:rPr>
        <w:t xml:space="preserve"> 3a) et les résidus associés (Fig.3b).</w:t>
      </w:r>
    </w:p>
    <w:p w:rsidR="001277C6" w:rsidRDefault="001277C6">
      <w:pPr>
        <w:pStyle w:val="NormalWeb"/>
        <w:rPr>
          <w:rFonts w:ascii="Calibri" w:hAnsi="Calibri"/>
        </w:rPr>
      </w:pPr>
    </w:p>
    <w:tbl>
      <w:tblPr>
        <w:tblStyle w:val="Grilledutableau"/>
        <w:tblW w:w="9288" w:type="dxa"/>
        <w:tblLook w:val="04A0" w:firstRow="1" w:lastRow="0" w:firstColumn="1" w:lastColumn="0" w:noHBand="0" w:noVBand="1"/>
      </w:tblPr>
      <w:tblGrid>
        <w:gridCol w:w="4851"/>
        <w:gridCol w:w="4437"/>
      </w:tblGrid>
      <w:tr w:rsidR="001277C6">
        <w:tc>
          <w:tcPr>
            <w:tcW w:w="4844" w:type="dxa"/>
            <w:shd w:val="clear" w:color="auto" w:fill="auto"/>
            <w:tcMar>
              <w:left w:w="108" w:type="dxa"/>
            </w:tcMar>
          </w:tcPr>
          <w:p w:rsidR="001277C6" w:rsidRDefault="00CA4C76">
            <w:pPr>
              <w:pStyle w:val="NormalWeb"/>
              <w:spacing w:before="280" w:after="0"/>
              <w:rPr>
                <w:rFonts w:ascii="Calibri" w:hAnsi="Calibri"/>
              </w:rPr>
            </w:pPr>
            <w:r>
              <w:rPr>
                <w:noProof/>
                <w:lang w:val="en-GB" w:eastAsia="en-GB"/>
              </w:rPr>
              <w:drawing>
                <wp:inline distT="0" distB="6350" distL="0" distR="0" wp14:anchorId="2D44479A" wp14:editId="2F7BA408">
                  <wp:extent cx="3317240" cy="2051050"/>
                  <wp:effectExtent l="0" t="0" r="0" b="0"/>
                  <wp:docPr id="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6"/>
                          <pic:cNvPicPr>
                            <a:picLocks noChangeAspect="1" noChangeArrowheads="1"/>
                          </pic:cNvPicPr>
                        </pic:nvPicPr>
                        <pic:blipFill>
                          <a:blip r:embed="rId10"/>
                          <a:stretch>
                            <a:fillRect/>
                          </a:stretch>
                        </pic:blipFill>
                        <pic:spPr bwMode="auto">
                          <a:xfrm>
                            <a:off x="0" y="0"/>
                            <a:ext cx="3317240" cy="2051050"/>
                          </a:xfrm>
                          <a:prstGeom prst="rect">
                            <a:avLst/>
                          </a:prstGeom>
                        </pic:spPr>
                      </pic:pic>
                    </a:graphicData>
                  </a:graphic>
                </wp:inline>
              </w:drawing>
            </w:r>
          </w:p>
        </w:tc>
        <w:tc>
          <w:tcPr>
            <w:tcW w:w="4443" w:type="dxa"/>
            <w:shd w:val="clear" w:color="auto" w:fill="auto"/>
            <w:tcMar>
              <w:left w:w="108" w:type="dxa"/>
            </w:tcMar>
          </w:tcPr>
          <w:p w:rsidR="001277C6" w:rsidRDefault="00CA4C76">
            <w:pPr>
              <w:pStyle w:val="NormalWeb"/>
              <w:spacing w:before="280" w:after="0"/>
              <w:rPr>
                <w:rFonts w:ascii="Calibri" w:hAnsi="Calibri"/>
              </w:rPr>
            </w:pPr>
            <w:r>
              <w:rPr>
                <w:noProof/>
                <w:lang w:val="en-GB" w:eastAsia="en-GB"/>
              </w:rPr>
              <w:drawing>
                <wp:inline distT="0" distB="6350" distL="0" distR="8890" wp14:anchorId="35508C84" wp14:editId="6E2B73F9">
                  <wp:extent cx="3020695" cy="1974850"/>
                  <wp:effectExtent l="0" t="0" r="0" b="0"/>
                  <wp:docPr id="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8"/>
                          <pic:cNvPicPr>
                            <a:picLocks noChangeAspect="1" noChangeArrowheads="1"/>
                          </pic:cNvPicPr>
                        </pic:nvPicPr>
                        <pic:blipFill>
                          <a:blip r:embed="rId11"/>
                          <a:stretch>
                            <a:fillRect/>
                          </a:stretch>
                        </pic:blipFill>
                        <pic:spPr bwMode="auto">
                          <a:xfrm>
                            <a:off x="0" y="0"/>
                            <a:ext cx="3020695" cy="1974850"/>
                          </a:xfrm>
                          <a:prstGeom prst="rect">
                            <a:avLst/>
                          </a:prstGeom>
                        </pic:spPr>
                      </pic:pic>
                    </a:graphicData>
                  </a:graphic>
                </wp:inline>
              </w:drawing>
            </w:r>
          </w:p>
        </w:tc>
      </w:tr>
      <w:tr w:rsidR="001277C6" w:rsidRPr="009B54EA">
        <w:tc>
          <w:tcPr>
            <w:tcW w:w="4844" w:type="dxa"/>
            <w:shd w:val="clear" w:color="auto" w:fill="auto"/>
            <w:tcMar>
              <w:left w:w="108" w:type="dxa"/>
            </w:tcMar>
          </w:tcPr>
          <w:p w:rsidR="001277C6" w:rsidRDefault="00CA4C76">
            <w:pPr>
              <w:pStyle w:val="NormalWeb"/>
              <w:spacing w:before="280" w:after="0"/>
              <w:rPr>
                <w:rFonts w:ascii="Calibri" w:hAnsi="Calibri"/>
                <w:i/>
                <w:sz w:val="20"/>
              </w:rPr>
            </w:pPr>
            <w:r>
              <w:rPr>
                <w:rFonts w:ascii="Calibri" w:hAnsi="Calibri"/>
                <w:i/>
                <w:sz w:val="20"/>
              </w:rPr>
              <w:t xml:space="preserve">Figure 3a: </w:t>
            </w:r>
            <w:r>
              <w:rPr>
                <w:rFonts w:ascii="Calibri" w:hAnsi="Calibri"/>
                <w:i/>
                <w:sz w:val="20"/>
              </w:rPr>
              <w:t>Relation entre les valeurs d’O2</w:t>
            </w:r>
            <w:r>
              <w:rPr>
                <w:rFonts w:ascii="Calibri" w:hAnsi="Calibri"/>
                <w:i/>
                <w:color w:val="000000"/>
                <w:sz w:val="20"/>
              </w:rPr>
              <w:t xml:space="preserve"> du capteur SBE43 avant et après correction en fonction de l’oxygène mesurée par la méthode Winkler (µmol O</w:t>
            </w:r>
            <w:r>
              <w:rPr>
                <w:rFonts w:ascii="Calibri" w:hAnsi="Calibri"/>
                <w:i/>
                <w:color w:val="000000"/>
                <w:sz w:val="20"/>
                <w:vertAlign w:val="subscript"/>
              </w:rPr>
              <w:t>2</w:t>
            </w:r>
            <w:r>
              <w:rPr>
                <w:rFonts w:ascii="Calibri" w:hAnsi="Calibri"/>
                <w:i/>
                <w:color w:val="000000"/>
                <w:sz w:val="20"/>
              </w:rPr>
              <w:t xml:space="preserve"> kg</w:t>
            </w:r>
            <w:r>
              <w:rPr>
                <w:rFonts w:ascii="Calibri" w:hAnsi="Calibri"/>
                <w:i/>
                <w:color w:val="000000"/>
                <w:sz w:val="20"/>
                <w:vertAlign w:val="superscript"/>
              </w:rPr>
              <w:t>-1</w:t>
            </w:r>
            <w:r>
              <w:rPr>
                <w:rFonts w:ascii="Calibri" w:hAnsi="Calibri"/>
                <w:i/>
                <w:color w:val="000000"/>
                <w:sz w:val="20"/>
              </w:rPr>
              <w:t>).</w:t>
            </w:r>
          </w:p>
        </w:tc>
        <w:tc>
          <w:tcPr>
            <w:tcW w:w="4443" w:type="dxa"/>
            <w:shd w:val="clear" w:color="auto" w:fill="auto"/>
            <w:tcMar>
              <w:left w:w="108" w:type="dxa"/>
            </w:tcMar>
          </w:tcPr>
          <w:p w:rsidR="001277C6" w:rsidRDefault="00CA4C76">
            <w:pPr>
              <w:pStyle w:val="NormalWeb"/>
              <w:spacing w:before="280" w:after="0"/>
              <w:rPr>
                <w:rFonts w:ascii="Calibri" w:hAnsi="Calibri"/>
                <w:i/>
                <w:sz w:val="20"/>
              </w:rPr>
            </w:pPr>
            <w:r>
              <w:rPr>
                <w:rFonts w:ascii="Calibri" w:hAnsi="Calibri"/>
                <w:i/>
                <w:sz w:val="20"/>
              </w:rPr>
              <w:t>Figure 3b : Distribution des résidus (O</w:t>
            </w:r>
            <w:r>
              <w:rPr>
                <w:rFonts w:ascii="Calibri" w:hAnsi="Calibri"/>
                <w:i/>
                <w:sz w:val="20"/>
                <w:vertAlign w:val="subscript"/>
              </w:rPr>
              <w:t>2</w:t>
            </w:r>
            <w:r>
              <w:rPr>
                <w:rFonts w:ascii="Calibri" w:hAnsi="Calibri"/>
                <w:i/>
                <w:sz w:val="20"/>
              </w:rPr>
              <w:t>SBE43-O</w:t>
            </w:r>
            <w:r>
              <w:rPr>
                <w:rFonts w:ascii="Calibri" w:hAnsi="Calibri"/>
                <w:i/>
                <w:sz w:val="20"/>
                <w:vertAlign w:val="subscript"/>
              </w:rPr>
              <w:t>2</w:t>
            </w:r>
            <w:r>
              <w:rPr>
                <w:rFonts w:ascii="Calibri" w:hAnsi="Calibri"/>
                <w:i/>
                <w:sz w:val="20"/>
              </w:rPr>
              <w:t>W) en fonction du numéro de station.</w:t>
            </w:r>
          </w:p>
        </w:tc>
      </w:tr>
    </w:tbl>
    <w:p w:rsidR="001277C6" w:rsidRDefault="00CA4C76">
      <w:pPr>
        <w:pStyle w:val="NormalWeb"/>
        <w:rPr>
          <w:rFonts w:ascii="Calibri" w:hAnsi="Calibri"/>
        </w:rPr>
      </w:pPr>
      <w:r>
        <w:rPr>
          <w:rFonts w:ascii="Calibri" w:hAnsi="Calibri"/>
        </w:rPr>
        <w:t xml:space="preserve">La distribution des </w:t>
      </w:r>
      <w:r>
        <w:rPr>
          <w:rFonts w:ascii="Calibri" w:hAnsi="Calibri"/>
        </w:rPr>
        <w:t>valeurs d’O</w:t>
      </w:r>
      <w:r>
        <w:rPr>
          <w:rFonts w:ascii="Calibri" w:hAnsi="Calibri"/>
          <w:vertAlign w:val="subscript"/>
        </w:rPr>
        <w:t>2</w:t>
      </w:r>
      <w:r>
        <w:rPr>
          <w:rFonts w:ascii="Calibri" w:hAnsi="Calibri"/>
        </w:rPr>
        <w:t xml:space="preserve"> Winkler et du capteur SBE43 sur l’ensemble des échantillons prélevés lors des profils remontés (Fig4a), des résidus (O</w:t>
      </w:r>
      <w:r>
        <w:rPr>
          <w:rFonts w:ascii="Calibri" w:hAnsi="Calibri"/>
          <w:vertAlign w:val="subscript"/>
        </w:rPr>
        <w:t>2</w:t>
      </w:r>
      <w:r>
        <w:rPr>
          <w:rFonts w:ascii="Calibri" w:hAnsi="Calibri"/>
        </w:rPr>
        <w:t>SBE43-O</w:t>
      </w:r>
      <w:r>
        <w:rPr>
          <w:rFonts w:ascii="Calibri" w:hAnsi="Calibri"/>
          <w:vertAlign w:val="subscript"/>
        </w:rPr>
        <w:t>2</w:t>
      </w:r>
      <w:r>
        <w:rPr>
          <w:rFonts w:ascii="Calibri" w:hAnsi="Calibri"/>
        </w:rPr>
        <w:t>W) en fonction de la pression (Fig4b) et en fonction de la température potentielle (Fig.4c).</w:t>
      </w:r>
    </w:p>
    <w:tbl>
      <w:tblPr>
        <w:tblStyle w:val="Grilledutableau"/>
        <w:tblW w:w="9288" w:type="dxa"/>
        <w:tblLook w:val="04A0" w:firstRow="1" w:lastRow="0" w:firstColumn="1" w:lastColumn="0" w:noHBand="0" w:noVBand="1"/>
      </w:tblPr>
      <w:tblGrid>
        <w:gridCol w:w="3106"/>
        <w:gridCol w:w="3096"/>
        <w:gridCol w:w="3086"/>
      </w:tblGrid>
      <w:tr w:rsidR="001277C6">
        <w:tc>
          <w:tcPr>
            <w:tcW w:w="3105" w:type="dxa"/>
            <w:shd w:val="clear" w:color="auto" w:fill="auto"/>
            <w:tcMar>
              <w:left w:w="108" w:type="dxa"/>
            </w:tcMar>
          </w:tcPr>
          <w:p w:rsidR="001277C6" w:rsidRDefault="00CA4C76">
            <w:pPr>
              <w:pStyle w:val="NormalWeb"/>
              <w:spacing w:before="280" w:after="0"/>
              <w:rPr>
                <w:rFonts w:ascii="Calibri" w:hAnsi="Calibri"/>
              </w:rPr>
            </w:pPr>
            <w:r>
              <w:rPr>
                <w:noProof/>
                <w:lang w:val="en-GB" w:eastAsia="en-GB"/>
              </w:rPr>
              <w:drawing>
                <wp:inline distT="0" distB="0" distL="0" distR="0" wp14:anchorId="140D175D" wp14:editId="554600A8">
                  <wp:extent cx="1835150" cy="2477770"/>
                  <wp:effectExtent l="0" t="0" r="0" b="0"/>
                  <wp:docPr id="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2"/>
                          <pic:cNvPicPr>
                            <a:picLocks noChangeAspect="1" noChangeArrowheads="1"/>
                          </pic:cNvPicPr>
                        </pic:nvPicPr>
                        <pic:blipFill>
                          <a:blip r:embed="rId12"/>
                          <a:stretch>
                            <a:fillRect/>
                          </a:stretch>
                        </pic:blipFill>
                        <pic:spPr bwMode="auto">
                          <a:xfrm>
                            <a:off x="0" y="0"/>
                            <a:ext cx="1835150" cy="2477770"/>
                          </a:xfrm>
                          <a:prstGeom prst="rect">
                            <a:avLst/>
                          </a:prstGeom>
                        </pic:spPr>
                      </pic:pic>
                    </a:graphicData>
                  </a:graphic>
                </wp:inline>
              </w:drawing>
            </w:r>
          </w:p>
        </w:tc>
        <w:tc>
          <w:tcPr>
            <w:tcW w:w="3096" w:type="dxa"/>
            <w:shd w:val="clear" w:color="auto" w:fill="auto"/>
            <w:tcMar>
              <w:left w:w="108" w:type="dxa"/>
            </w:tcMar>
          </w:tcPr>
          <w:p w:rsidR="001277C6" w:rsidRDefault="00CA4C76">
            <w:pPr>
              <w:pStyle w:val="NormalWeb"/>
              <w:spacing w:before="280" w:after="0"/>
              <w:rPr>
                <w:rFonts w:ascii="Calibri" w:hAnsi="Calibri"/>
              </w:rPr>
            </w:pPr>
            <w:r>
              <w:rPr>
                <w:noProof/>
                <w:lang w:val="en-GB" w:eastAsia="en-GB"/>
              </w:rPr>
              <w:drawing>
                <wp:inline distT="0" distB="0" distL="0" distR="3175" wp14:anchorId="79941DDF" wp14:editId="424AE2FB">
                  <wp:extent cx="1826260" cy="2463800"/>
                  <wp:effectExtent l="0" t="0" r="0" b="0"/>
                  <wp:docPr id="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3"/>
                          <pic:cNvPicPr>
                            <a:picLocks noChangeAspect="1" noChangeArrowheads="1"/>
                          </pic:cNvPicPr>
                        </pic:nvPicPr>
                        <pic:blipFill>
                          <a:blip r:embed="rId13"/>
                          <a:stretch>
                            <a:fillRect/>
                          </a:stretch>
                        </pic:blipFill>
                        <pic:spPr bwMode="auto">
                          <a:xfrm>
                            <a:off x="0" y="0"/>
                            <a:ext cx="1826260" cy="2463800"/>
                          </a:xfrm>
                          <a:prstGeom prst="rect">
                            <a:avLst/>
                          </a:prstGeom>
                        </pic:spPr>
                      </pic:pic>
                    </a:graphicData>
                  </a:graphic>
                </wp:inline>
              </w:drawing>
            </w:r>
          </w:p>
        </w:tc>
        <w:tc>
          <w:tcPr>
            <w:tcW w:w="3087" w:type="dxa"/>
            <w:shd w:val="clear" w:color="auto" w:fill="auto"/>
            <w:tcMar>
              <w:left w:w="108" w:type="dxa"/>
            </w:tcMar>
          </w:tcPr>
          <w:p w:rsidR="001277C6" w:rsidRDefault="00CA4C76">
            <w:pPr>
              <w:pStyle w:val="NormalWeb"/>
              <w:spacing w:before="280" w:after="0"/>
              <w:rPr>
                <w:rFonts w:ascii="Calibri" w:hAnsi="Calibri"/>
              </w:rPr>
            </w:pPr>
            <w:r>
              <w:rPr>
                <w:noProof/>
                <w:lang w:val="en-GB" w:eastAsia="en-GB"/>
              </w:rPr>
              <w:drawing>
                <wp:inline distT="0" distB="6350" distL="0" distR="0" wp14:anchorId="4DF29179" wp14:editId="6DC3A413">
                  <wp:extent cx="1815465" cy="2451100"/>
                  <wp:effectExtent l="0" t="0" r="0" b="0"/>
                  <wp:docPr id="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4"/>
                          <pic:cNvPicPr>
                            <a:picLocks noChangeAspect="1" noChangeArrowheads="1"/>
                          </pic:cNvPicPr>
                        </pic:nvPicPr>
                        <pic:blipFill>
                          <a:blip r:embed="rId14"/>
                          <a:stretch>
                            <a:fillRect/>
                          </a:stretch>
                        </pic:blipFill>
                        <pic:spPr bwMode="auto">
                          <a:xfrm>
                            <a:off x="0" y="0"/>
                            <a:ext cx="1815465" cy="2451100"/>
                          </a:xfrm>
                          <a:prstGeom prst="rect">
                            <a:avLst/>
                          </a:prstGeom>
                        </pic:spPr>
                      </pic:pic>
                    </a:graphicData>
                  </a:graphic>
                </wp:inline>
              </w:drawing>
            </w:r>
          </w:p>
        </w:tc>
      </w:tr>
      <w:tr w:rsidR="001277C6">
        <w:tc>
          <w:tcPr>
            <w:tcW w:w="3105" w:type="dxa"/>
            <w:shd w:val="clear" w:color="auto" w:fill="auto"/>
            <w:tcMar>
              <w:left w:w="108" w:type="dxa"/>
            </w:tcMar>
          </w:tcPr>
          <w:p w:rsidR="001277C6" w:rsidRDefault="00CA4C76">
            <w:pPr>
              <w:spacing w:after="0" w:line="240" w:lineRule="auto"/>
              <w:rPr>
                <w:rFonts w:ascii="Calibri" w:hAnsi="Calibri"/>
                <w:i/>
                <w:color w:val="000000"/>
                <w:sz w:val="20"/>
                <w:szCs w:val="24"/>
              </w:rPr>
            </w:pPr>
            <w:r>
              <w:rPr>
                <w:i/>
                <w:color w:val="000000"/>
                <w:sz w:val="20"/>
                <w:szCs w:val="24"/>
              </w:rPr>
              <w:t>Figure 4a: O</w:t>
            </w:r>
            <w:r>
              <w:rPr>
                <w:i/>
                <w:color w:val="000000"/>
                <w:sz w:val="20"/>
                <w:szCs w:val="24"/>
                <w:vertAlign w:val="subscript"/>
              </w:rPr>
              <w:t>2</w:t>
            </w:r>
            <w:r>
              <w:rPr>
                <w:i/>
                <w:color w:val="000000"/>
                <w:sz w:val="20"/>
                <w:szCs w:val="24"/>
              </w:rPr>
              <w:t>Winkler and adjusted O</w:t>
            </w:r>
            <w:r>
              <w:rPr>
                <w:i/>
                <w:color w:val="000000"/>
                <w:sz w:val="20"/>
                <w:szCs w:val="24"/>
                <w:vertAlign w:val="subscript"/>
              </w:rPr>
              <w:t>2</w:t>
            </w:r>
            <w:r>
              <w:rPr>
                <w:i/>
                <w:color w:val="000000"/>
                <w:sz w:val="20"/>
                <w:szCs w:val="24"/>
              </w:rPr>
              <w:t>SBE 43  versus pressure (µ</w:t>
            </w:r>
            <w:proofErr w:type="spellStart"/>
            <w:r>
              <w:rPr>
                <w:i/>
                <w:color w:val="000000"/>
                <w:sz w:val="20"/>
                <w:szCs w:val="24"/>
              </w:rPr>
              <w:t>mol</w:t>
            </w:r>
            <w:proofErr w:type="spellEnd"/>
            <w:r>
              <w:rPr>
                <w:i/>
                <w:color w:val="000000"/>
                <w:sz w:val="20"/>
                <w:szCs w:val="24"/>
              </w:rPr>
              <w:t xml:space="preserve"> O</w:t>
            </w:r>
            <w:r>
              <w:rPr>
                <w:i/>
                <w:color w:val="000000"/>
                <w:sz w:val="20"/>
                <w:szCs w:val="24"/>
                <w:vertAlign w:val="subscript"/>
              </w:rPr>
              <w:t>2</w:t>
            </w:r>
            <w:r>
              <w:rPr>
                <w:i/>
                <w:color w:val="000000"/>
                <w:sz w:val="20"/>
                <w:szCs w:val="24"/>
              </w:rPr>
              <w:t xml:space="preserve"> kg</w:t>
            </w:r>
            <w:r>
              <w:rPr>
                <w:i/>
                <w:color w:val="000000"/>
                <w:sz w:val="20"/>
                <w:szCs w:val="24"/>
                <w:vertAlign w:val="superscript"/>
              </w:rPr>
              <w:t>-1</w:t>
            </w:r>
            <w:r>
              <w:rPr>
                <w:i/>
                <w:color w:val="000000"/>
                <w:sz w:val="20"/>
                <w:szCs w:val="24"/>
              </w:rPr>
              <w:t>)</w:t>
            </w:r>
          </w:p>
        </w:tc>
        <w:tc>
          <w:tcPr>
            <w:tcW w:w="3096" w:type="dxa"/>
            <w:shd w:val="clear" w:color="auto" w:fill="auto"/>
            <w:tcMar>
              <w:left w:w="108" w:type="dxa"/>
            </w:tcMar>
          </w:tcPr>
          <w:p w:rsidR="001277C6" w:rsidRDefault="00CA4C76">
            <w:pPr>
              <w:spacing w:after="0" w:line="240" w:lineRule="auto"/>
              <w:rPr>
                <w:rFonts w:ascii="Calibri" w:hAnsi="Calibri"/>
                <w:i/>
                <w:color w:val="000000"/>
                <w:sz w:val="20"/>
                <w:szCs w:val="24"/>
              </w:rPr>
            </w:pPr>
            <w:r>
              <w:rPr>
                <w:i/>
                <w:color w:val="000000"/>
                <w:sz w:val="20"/>
                <w:szCs w:val="24"/>
              </w:rPr>
              <w:t>Figure 4b: Pressure versus residuals (O</w:t>
            </w:r>
            <w:r>
              <w:rPr>
                <w:i/>
                <w:color w:val="000000"/>
                <w:sz w:val="20"/>
                <w:szCs w:val="24"/>
                <w:vertAlign w:val="subscript"/>
              </w:rPr>
              <w:t>2</w:t>
            </w:r>
            <w:r>
              <w:rPr>
                <w:i/>
                <w:color w:val="000000"/>
                <w:sz w:val="20"/>
                <w:szCs w:val="24"/>
              </w:rPr>
              <w:t>SBE43- O</w:t>
            </w:r>
            <w:r>
              <w:rPr>
                <w:i/>
                <w:color w:val="000000"/>
                <w:sz w:val="20"/>
                <w:szCs w:val="24"/>
                <w:vertAlign w:val="subscript"/>
              </w:rPr>
              <w:t>2,</w:t>
            </w:r>
            <w:r>
              <w:rPr>
                <w:i/>
                <w:color w:val="000000"/>
                <w:sz w:val="20"/>
                <w:szCs w:val="24"/>
              </w:rPr>
              <w:t>Wµmol O</w:t>
            </w:r>
            <w:r>
              <w:rPr>
                <w:i/>
                <w:color w:val="000000"/>
                <w:sz w:val="20"/>
                <w:szCs w:val="24"/>
                <w:vertAlign w:val="subscript"/>
              </w:rPr>
              <w:t>2</w:t>
            </w:r>
            <w:r>
              <w:rPr>
                <w:i/>
                <w:color w:val="000000"/>
                <w:sz w:val="20"/>
                <w:szCs w:val="24"/>
              </w:rPr>
              <w:t xml:space="preserve"> kg</w:t>
            </w:r>
            <w:r>
              <w:rPr>
                <w:i/>
                <w:color w:val="000000"/>
                <w:sz w:val="20"/>
                <w:szCs w:val="24"/>
                <w:vertAlign w:val="superscript"/>
              </w:rPr>
              <w:t>-1</w:t>
            </w:r>
            <w:r>
              <w:rPr>
                <w:i/>
                <w:color w:val="000000"/>
                <w:sz w:val="20"/>
                <w:szCs w:val="24"/>
              </w:rPr>
              <w:t>)</w:t>
            </w:r>
          </w:p>
        </w:tc>
        <w:tc>
          <w:tcPr>
            <w:tcW w:w="3087" w:type="dxa"/>
            <w:shd w:val="clear" w:color="auto" w:fill="auto"/>
            <w:tcMar>
              <w:left w:w="108" w:type="dxa"/>
            </w:tcMar>
          </w:tcPr>
          <w:p w:rsidR="001277C6" w:rsidRDefault="00CA4C76">
            <w:pPr>
              <w:spacing w:after="0" w:line="240" w:lineRule="auto"/>
              <w:rPr>
                <w:rFonts w:ascii="Calibri" w:hAnsi="Calibri"/>
                <w:i/>
                <w:color w:val="000000"/>
                <w:sz w:val="20"/>
                <w:szCs w:val="24"/>
              </w:rPr>
            </w:pPr>
            <w:r>
              <w:rPr>
                <w:i/>
                <w:color w:val="000000"/>
                <w:sz w:val="20"/>
                <w:szCs w:val="24"/>
              </w:rPr>
              <w:t>Figure 4c: Theta versus residuals (O</w:t>
            </w:r>
            <w:r>
              <w:rPr>
                <w:i/>
                <w:color w:val="000000"/>
                <w:sz w:val="20"/>
                <w:szCs w:val="24"/>
                <w:vertAlign w:val="subscript"/>
              </w:rPr>
              <w:t>2</w:t>
            </w:r>
            <w:r>
              <w:rPr>
                <w:i/>
                <w:color w:val="000000"/>
                <w:sz w:val="20"/>
                <w:szCs w:val="24"/>
              </w:rPr>
              <w:t>SBE43- O</w:t>
            </w:r>
            <w:r>
              <w:rPr>
                <w:i/>
                <w:color w:val="000000"/>
                <w:sz w:val="20"/>
                <w:szCs w:val="24"/>
                <w:vertAlign w:val="subscript"/>
              </w:rPr>
              <w:t>2,</w:t>
            </w:r>
            <w:r>
              <w:rPr>
                <w:i/>
                <w:color w:val="000000"/>
                <w:sz w:val="20"/>
                <w:szCs w:val="24"/>
              </w:rPr>
              <w:t>Wµmol O</w:t>
            </w:r>
            <w:r>
              <w:rPr>
                <w:i/>
                <w:color w:val="000000"/>
                <w:sz w:val="20"/>
                <w:szCs w:val="24"/>
                <w:vertAlign w:val="subscript"/>
              </w:rPr>
              <w:t>2</w:t>
            </w:r>
            <w:r>
              <w:rPr>
                <w:i/>
                <w:color w:val="000000"/>
                <w:sz w:val="20"/>
                <w:szCs w:val="24"/>
              </w:rPr>
              <w:t xml:space="preserve"> kg</w:t>
            </w:r>
            <w:r>
              <w:rPr>
                <w:i/>
                <w:color w:val="000000"/>
                <w:sz w:val="20"/>
                <w:szCs w:val="24"/>
                <w:vertAlign w:val="superscript"/>
              </w:rPr>
              <w:t>-1</w:t>
            </w:r>
            <w:r>
              <w:rPr>
                <w:i/>
                <w:color w:val="000000"/>
                <w:sz w:val="20"/>
                <w:szCs w:val="24"/>
              </w:rPr>
              <w:t>)</w:t>
            </w:r>
          </w:p>
        </w:tc>
      </w:tr>
    </w:tbl>
    <w:p w:rsidR="001277C6" w:rsidRDefault="001277C6">
      <w:pPr>
        <w:pStyle w:val="NormalWeb"/>
        <w:rPr>
          <w:rFonts w:ascii="Calibri" w:hAnsi="Calibri"/>
          <w:lang w:val="en-GB"/>
        </w:rPr>
      </w:pPr>
    </w:p>
    <w:p w:rsidR="00773177" w:rsidRDefault="00773177">
      <w:pPr>
        <w:pStyle w:val="NormalWeb"/>
        <w:rPr>
          <w:rFonts w:ascii="Calibri" w:hAnsi="Calibri"/>
        </w:rPr>
      </w:pPr>
      <w:r w:rsidRPr="005E2375">
        <w:rPr>
          <w:rFonts w:ascii="Calibri" w:hAnsi="Calibri"/>
        </w:rPr>
        <w:t xml:space="preserve">Il est à noter que </w:t>
      </w:r>
      <w:r>
        <w:rPr>
          <w:rFonts w:ascii="Calibri" w:hAnsi="Calibri"/>
        </w:rPr>
        <w:t xml:space="preserve">lors de </w:t>
      </w:r>
      <w:r w:rsidRPr="005E2375">
        <w:rPr>
          <w:rFonts w:ascii="Calibri" w:hAnsi="Calibri"/>
        </w:rPr>
        <w:t xml:space="preserve">la </w:t>
      </w:r>
      <w:proofErr w:type="spellStart"/>
      <w:r w:rsidRPr="005E2375">
        <w:rPr>
          <w:rFonts w:ascii="Calibri" w:hAnsi="Calibri"/>
        </w:rPr>
        <w:t>cast</w:t>
      </w:r>
      <w:proofErr w:type="spellEnd"/>
      <w:r w:rsidRPr="005E2375">
        <w:rPr>
          <w:rFonts w:ascii="Calibri" w:hAnsi="Calibri"/>
        </w:rPr>
        <w:t xml:space="preserve"> OUT016 </w:t>
      </w:r>
      <w:r>
        <w:rPr>
          <w:rFonts w:ascii="Calibri" w:hAnsi="Calibri"/>
        </w:rPr>
        <w:t xml:space="preserve">le capteur SBRE43 </w:t>
      </w:r>
      <w:r w:rsidRPr="005E2375">
        <w:rPr>
          <w:rFonts w:ascii="Calibri" w:hAnsi="Calibri"/>
        </w:rPr>
        <w:t>n’</w:t>
      </w:r>
      <w:r>
        <w:rPr>
          <w:rFonts w:ascii="Calibri" w:hAnsi="Calibri"/>
        </w:rPr>
        <w:t xml:space="preserve">a pas fonctionné. Et que la majorité des donnes pour les </w:t>
      </w:r>
      <w:proofErr w:type="spellStart"/>
      <w:r>
        <w:rPr>
          <w:rFonts w:ascii="Calibri" w:hAnsi="Calibri"/>
        </w:rPr>
        <w:t>cast</w:t>
      </w:r>
      <w:proofErr w:type="spellEnd"/>
      <w:r>
        <w:rPr>
          <w:rFonts w:ascii="Calibri" w:hAnsi="Calibri"/>
        </w:rPr>
        <w:t xml:space="preserve"> 010, 019 et 020 ont été écartées.</w:t>
      </w:r>
    </w:p>
    <w:p w:rsidR="00773177" w:rsidRPr="005E2375" w:rsidRDefault="00773177">
      <w:pPr>
        <w:pStyle w:val="NormalWeb"/>
        <w:rPr>
          <w:rFonts w:ascii="Calibri" w:hAnsi="Calibri"/>
        </w:rPr>
      </w:pPr>
      <w:r>
        <w:rPr>
          <w:rFonts w:ascii="Calibri" w:hAnsi="Calibri"/>
        </w:rPr>
        <w:t xml:space="preserve">A ce stade du </w:t>
      </w:r>
      <w:r w:rsidR="001C19F9">
        <w:rPr>
          <w:rFonts w:ascii="Calibri" w:hAnsi="Calibri"/>
        </w:rPr>
        <w:t>traitement</w:t>
      </w:r>
      <w:r>
        <w:rPr>
          <w:rFonts w:ascii="Calibri" w:hAnsi="Calibri"/>
        </w:rPr>
        <w:t xml:space="preserve"> des données la </w:t>
      </w:r>
      <w:r w:rsidR="001C19F9">
        <w:rPr>
          <w:rFonts w:ascii="Calibri" w:hAnsi="Calibri"/>
        </w:rPr>
        <w:t>dérive</w:t>
      </w:r>
      <w:r>
        <w:rPr>
          <w:rFonts w:ascii="Calibri" w:hAnsi="Calibri"/>
        </w:rPr>
        <w:t xml:space="preserve"> du capteur en fonction du </w:t>
      </w:r>
      <w:proofErr w:type="spellStart"/>
      <w:r>
        <w:rPr>
          <w:rFonts w:ascii="Calibri" w:hAnsi="Calibri"/>
        </w:rPr>
        <w:t>numéo</w:t>
      </w:r>
      <w:proofErr w:type="spellEnd"/>
      <w:r>
        <w:rPr>
          <w:rFonts w:ascii="Calibri" w:hAnsi="Calibri"/>
        </w:rPr>
        <w:t xml:space="preserve"> de station a été négligé (dérive inférieure à la limite de détection chimique de l’O2 sur l’ensemble de la campagne).</w:t>
      </w:r>
    </w:p>
    <w:p w:rsidR="00773177" w:rsidRPr="005E2375" w:rsidRDefault="00773177">
      <w:pPr>
        <w:pStyle w:val="NormalWeb"/>
        <w:rPr>
          <w:rFonts w:ascii="Calibri" w:hAnsi="Calibri"/>
        </w:rPr>
      </w:pPr>
    </w:p>
    <w:p w:rsidR="00EA26A1" w:rsidRPr="009B54EA" w:rsidRDefault="00EA26A1">
      <w:pPr>
        <w:pStyle w:val="NormalWeb"/>
        <w:rPr>
          <w:rFonts w:ascii="Calibri" w:hAnsi="Calibri"/>
        </w:rPr>
      </w:pPr>
      <w:r w:rsidRPr="009B54EA">
        <w:rPr>
          <w:rFonts w:ascii="Calibri" w:hAnsi="Calibri"/>
        </w:rPr>
        <w:t>Complément</w:t>
      </w:r>
      <w:r w:rsidR="00F82805" w:rsidRPr="009B54EA">
        <w:rPr>
          <w:rFonts w:ascii="Calibri" w:hAnsi="Calibri"/>
        </w:rPr>
        <w:t>s</w:t>
      </w:r>
      <w:r w:rsidRPr="009B54EA">
        <w:rPr>
          <w:rFonts w:ascii="Calibri" w:hAnsi="Calibri"/>
        </w:rPr>
        <w:t xml:space="preserve"> d’information.</w:t>
      </w:r>
    </w:p>
    <w:p w:rsidR="00EA26A1" w:rsidRPr="009B54EA" w:rsidRDefault="00F82805" w:rsidP="009B54EA">
      <w:pPr>
        <w:pStyle w:val="NormalWeb"/>
        <w:jc w:val="both"/>
        <w:rPr>
          <w:rFonts w:ascii="Calibri" w:hAnsi="Calibri"/>
        </w:rPr>
      </w:pPr>
      <w:r w:rsidRPr="009B54EA">
        <w:rPr>
          <w:rFonts w:ascii="Calibri" w:hAnsi="Calibri"/>
        </w:rPr>
        <w:t>Utilisation de la salinité ab</w:t>
      </w:r>
      <w:r>
        <w:rPr>
          <w:rFonts w:ascii="Calibri" w:hAnsi="Calibri"/>
        </w:rPr>
        <w:t>s</w:t>
      </w:r>
      <w:r w:rsidRPr="009B54EA">
        <w:rPr>
          <w:rFonts w:ascii="Calibri" w:hAnsi="Calibri"/>
        </w:rPr>
        <w:t xml:space="preserve">olue et de la </w:t>
      </w:r>
      <w:r w:rsidRPr="00F82805">
        <w:rPr>
          <w:rFonts w:ascii="Calibri" w:hAnsi="Calibri"/>
        </w:rPr>
        <w:t>temp</w:t>
      </w:r>
      <w:r>
        <w:rPr>
          <w:rFonts w:ascii="Calibri" w:hAnsi="Calibri"/>
        </w:rPr>
        <w:t>é</w:t>
      </w:r>
      <w:r w:rsidRPr="009B54EA">
        <w:rPr>
          <w:rFonts w:ascii="Calibri" w:hAnsi="Calibri"/>
        </w:rPr>
        <w:t xml:space="preserve">rature </w:t>
      </w:r>
      <w:r>
        <w:rPr>
          <w:rFonts w:ascii="Calibri" w:hAnsi="Calibri"/>
        </w:rPr>
        <w:t xml:space="preserve">conservative (TEOS10) pour le calcul de la solubilité de l’oxygène dissous n’apporte pas de changement, car ces paramètres sont convertis en salinité pratique et température potentielle pour le calcul de la solubilité en utilisant la formulation de Garcia &amp; Gordon (1992) coefficients de Benson &amp; </w:t>
      </w:r>
      <w:proofErr w:type="spellStart"/>
      <w:r>
        <w:rPr>
          <w:rFonts w:ascii="Calibri" w:hAnsi="Calibri"/>
        </w:rPr>
        <w:t>Krause</w:t>
      </w:r>
      <w:proofErr w:type="spellEnd"/>
      <w:r w:rsidR="00F1729C">
        <w:rPr>
          <w:rFonts w:ascii="Calibri" w:hAnsi="Calibri"/>
        </w:rPr>
        <w:t xml:space="preserve"> </w:t>
      </w:r>
      <w:r w:rsidR="00F1729C" w:rsidRPr="00F1729C">
        <w:rPr>
          <w:rFonts w:ascii="Calibri" w:hAnsi="Calibri"/>
        </w:rPr>
        <w:t>http://www.teos-10.org/pubs/gsw/html/gsw_contents.html#19</w:t>
      </w:r>
      <w:r w:rsidR="00F1729C">
        <w:rPr>
          <w:rFonts w:ascii="Calibri" w:hAnsi="Calibri"/>
        </w:rPr>
        <w:t>)</w:t>
      </w:r>
      <w:r>
        <w:rPr>
          <w:rFonts w:ascii="Calibri" w:hAnsi="Calibri"/>
        </w:rPr>
        <w:t>.</w:t>
      </w:r>
    </w:p>
    <w:p w:rsidR="00EA26A1" w:rsidRPr="009B54EA" w:rsidRDefault="00EA26A1">
      <w:pPr>
        <w:pStyle w:val="NormalWeb"/>
        <w:rPr>
          <w:rFonts w:ascii="Calibri" w:hAnsi="Calibri"/>
        </w:rPr>
      </w:pPr>
    </w:p>
    <w:p w:rsidR="001277C6" w:rsidRPr="009B54EA" w:rsidRDefault="00CA4C76">
      <w:pPr>
        <w:pStyle w:val="NormalWeb"/>
        <w:rPr>
          <w:rFonts w:ascii="Calibri" w:hAnsi="Calibri"/>
          <w:sz w:val="22"/>
          <w:lang w:val="en-GB"/>
        </w:rPr>
      </w:pPr>
      <w:proofErr w:type="spellStart"/>
      <w:r w:rsidRPr="009B54EA">
        <w:rPr>
          <w:rFonts w:ascii="Calibri" w:hAnsi="Calibri"/>
          <w:sz w:val="22"/>
          <w:lang w:val="en-GB"/>
        </w:rPr>
        <w:t>Références</w:t>
      </w:r>
      <w:proofErr w:type="spellEnd"/>
      <w:r w:rsidRPr="009B54EA">
        <w:rPr>
          <w:rFonts w:ascii="Calibri" w:hAnsi="Calibri"/>
          <w:sz w:val="22"/>
          <w:lang w:val="en-GB"/>
        </w:rPr>
        <w:t>:</w:t>
      </w:r>
    </w:p>
    <w:p w:rsidR="001277C6" w:rsidRDefault="00CA4C76">
      <w:pPr>
        <w:pStyle w:val="NormalWeb"/>
        <w:ind w:left="284" w:hanging="284"/>
        <w:rPr>
          <w:rFonts w:asciiTheme="minorHAnsi" w:hAnsiTheme="minorHAnsi"/>
          <w:sz w:val="22"/>
          <w:lang w:val="en-GB"/>
        </w:rPr>
      </w:pPr>
      <w:proofErr w:type="gramStart"/>
      <w:r>
        <w:rPr>
          <w:rFonts w:asciiTheme="minorHAnsi" w:hAnsiTheme="minorHAnsi"/>
          <w:sz w:val="22"/>
          <w:lang w:val="en-GB"/>
        </w:rPr>
        <w:t>Carpenter, J. H. (1965).</w:t>
      </w:r>
      <w:proofErr w:type="gramEnd"/>
      <w:r>
        <w:rPr>
          <w:rFonts w:asciiTheme="minorHAnsi" w:hAnsiTheme="minorHAnsi"/>
          <w:sz w:val="22"/>
          <w:lang w:val="en-GB"/>
        </w:rPr>
        <w:t xml:space="preserve"> The accuracy of the Winkler method for dissolved oxygen analysis. </w:t>
      </w:r>
      <w:r w:rsidRPr="009B54EA">
        <w:rPr>
          <w:rFonts w:asciiTheme="minorHAnsi" w:hAnsiTheme="minorHAnsi"/>
          <w:sz w:val="22"/>
          <w:lang w:val="en-GB"/>
        </w:rPr>
        <w:t>Limnology and Oceanography, 10: 135-140.</w:t>
      </w:r>
    </w:p>
    <w:p w:rsidR="003D523C" w:rsidRPr="009B54EA" w:rsidRDefault="003D523C">
      <w:pPr>
        <w:pStyle w:val="NormalWeb"/>
        <w:ind w:left="284" w:hanging="284"/>
        <w:rPr>
          <w:rFonts w:asciiTheme="minorHAnsi" w:hAnsiTheme="minorHAnsi"/>
          <w:sz w:val="20"/>
          <w:lang w:val="en-GB"/>
        </w:rPr>
      </w:pPr>
      <w:proofErr w:type="spellStart"/>
      <w:proofErr w:type="gramStart"/>
      <w:r w:rsidRPr="009B54EA">
        <w:rPr>
          <w:rFonts w:asciiTheme="minorHAnsi" w:hAnsiTheme="minorHAnsi"/>
          <w:sz w:val="22"/>
          <w:lang w:val="en-GB"/>
        </w:rPr>
        <w:t>Carritt</w:t>
      </w:r>
      <w:proofErr w:type="spellEnd"/>
      <w:r w:rsidRPr="009B54EA">
        <w:rPr>
          <w:rFonts w:asciiTheme="minorHAnsi" w:hAnsiTheme="minorHAnsi"/>
          <w:sz w:val="22"/>
          <w:lang w:val="en-GB"/>
        </w:rPr>
        <w:t>, D.E. &amp; J.H. Carpenter.</w:t>
      </w:r>
      <w:proofErr w:type="gramEnd"/>
      <w:r w:rsidRPr="009B54EA">
        <w:rPr>
          <w:rFonts w:asciiTheme="minorHAnsi" w:hAnsiTheme="minorHAnsi"/>
          <w:sz w:val="22"/>
          <w:lang w:val="en-GB"/>
        </w:rPr>
        <w:t xml:space="preserve"> 1966. Comparison and evaluation of currently employed modifications of the Winkler method for determining dissolved oxygen in sea-water; a NASCO report. </w:t>
      </w:r>
      <w:r w:rsidRPr="009B54EA">
        <w:rPr>
          <w:rFonts w:asciiTheme="minorHAnsi" w:hAnsiTheme="minorHAnsi"/>
          <w:sz w:val="22"/>
        </w:rPr>
        <w:t xml:space="preserve">J. Mar. </w:t>
      </w:r>
      <w:proofErr w:type="spellStart"/>
      <w:r w:rsidRPr="009B54EA">
        <w:rPr>
          <w:rFonts w:asciiTheme="minorHAnsi" w:hAnsiTheme="minorHAnsi"/>
          <w:sz w:val="22"/>
        </w:rPr>
        <w:t>Res</w:t>
      </w:r>
      <w:proofErr w:type="spellEnd"/>
      <w:r w:rsidRPr="009B54EA">
        <w:rPr>
          <w:rFonts w:asciiTheme="minorHAnsi" w:hAnsiTheme="minorHAnsi"/>
          <w:sz w:val="22"/>
        </w:rPr>
        <w:t>. 24, 286-318.</w:t>
      </w:r>
    </w:p>
    <w:p w:rsidR="001277C6" w:rsidRDefault="00CA4C76">
      <w:pPr>
        <w:pStyle w:val="NormalWeb"/>
        <w:ind w:left="284" w:hanging="284"/>
        <w:rPr>
          <w:rFonts w:asciiTheme="minorHAnsi" w:hAnsiTheme="minorHAnsi"/>
          <w:sz w:val="22"/>
          <w:lang w:val="en-GB"/>
        </w:rPr>
      </w:pPr>
      <w:proofErr w:type="spellStart"/>
      <w:r>
        <w:rPr>
          <w:rFonts w:asciiTheme="minorHAnsi" w:hAnsiTheme="minorHAnsi"/>
          <w:sz w:val="22"/>
          <w:lang w:val="en-GB"/>
        </w:rPr>
        <w:t>Culberson</w:t>
      </w:r>
      <w:proofErr w:type="spellEnd"/>
      <w:r>
        <w:rPr>
          <w:rFonts w:asciiTheme="minorHAnsi" w:hAnsiTheme="minorHAnsi"/>
          <w:sz w:val="22"/>
          <w:lang w:val="en-GB"/>
        </w:rPr>
        <w:t xml:space="preserve">, C. H. (1991). </w:t>
      </w:r>
      <w:proofErr w:type="gramStart"/>
      <w:r>
        <w:rPr>
          <w:rFonts w:asciiTheme="minorHAnsi" w:hAnsiTheme="minorHAnsi"/>
          <w:sz w:val="22"/>
          <w:lang w:val="en-GB"/>
        </w:rPr>
        <w:t>Dissolved oxygen.</w:t>
      </w:r>
      <w:proofErr w:type="gramEnd"/>
      <w:r>
        <w:rPr>
          <w:rFonts w:asciiTheme="minorHAnsi" w:hAnsiTheme="minorHAnsi"/>
          <w:sz w:val="22"/>
          <w:lang w:val="en-GB"/>
        </w:rPr>
        <w:t xml:space="preserve"> WHP Operations and Methods -- July 1991. Dickson 1996 https://scripps.ucsd.edu/sh</w:t>
      </w:r>
      <w:r>
        <w:rPr>
          <w:rFonts w:asciiTheme="minorHAnsi" w:hAnsiTheme="minorHAnsi"/>
          <w:sz w:val="22"/>
          <w:lang w:val="en-GB"/>
        </w:rPr>
        <w:t>ips/shipboard-technical-support/odf/chemistry-services/oxygen-analysis</w:t>
      </w:r>
    </w:p>
    <w:p w:rsidR="001277C6" w:rsidRDefault="00CA4C76">
      <w:pPr>
        <w:pStyle w:val="NormalWeb"/>
        <w:ind w:left="284" w:hanging="284"/>
        <w:rPr>
          <w:rFonts w:asciiTheme="minorHAnsi" w:hAnsiTheme="minorHAnsi"/>
          <w:sz w:val="22"/>
          <w:lang w:val="en-GB"/>
        </w:rPr>
      </w:pPr>
      <w:r>
        <w:rPr>
          <w:rFonts w:asciiTheme="minorHAnsi" w:hAnsiTheme="minorHAnsi"/>
          <w:sz w:val="22"/>
          <w:lang w:val="en-GB"/>
        </w:rPr>
        <w:t xml:space="preserve">Garcia and Gordon (1992) "Oxygen solubility in seawater: Better fitting equations", Limnology &amp; Oceanography, </w:t>
      </w:r>
      <w:proofErr w:type="spellStart"/>
      <w:r>
        <w:rPr>
          <w:rFonts w:asciiTheme="minorHAnsi" w:hAnsiTheme="minorHAnsi"/>
          <w:sz w:val="22"/>
          <w:lang w:val="en-GB"/>
        </w:rPr>
        <w:t>vol</w:t>
      </w:r>
      <w:proofErr w:type="spellEnd"/>
      <w:r>
        <w:rPr>
          <w:rFonts w:asciiTheme="minorHAnsi" w:hAnsiTheme="minorHAnsi"/>
          <w:sz w:val="22"/>
          <w:lang w:val="en-GB"/>
        </w:rPr>
        <w:t xml:space="preserve"> 37(6), p1307-1312.Seabird Application note 64-2</w:t>
      </w:r>
    </w:p>
    <w:p w:rsidR="001277C6" w:rsidRDefault="00CA4C76">
      <w:pPr>
        <w:pStyle w:val="NormalWeb"/>
        <w:ind w:left="284" w:hanging="284"/>
        <w:rPr>
          <w:rFonts w:asciiTheme="minorHAnsi" w:hAnsiTheme="minorHAnsi"/>
          <w:sz w:val="22"/>
          <w:lang w:val="en-GB"/>
        </w:rPr>
      </w:pPr>
      <w:proofErr w:type="gramStart"/>
      <w:r>
        <w:rPr>
          <w:rFonts w:asciiTheme="minorHAnsi" w:hAnsiTheme="minorHAnsi"/>
          <w:sz w:val="22"/>
          <w:lang w:val="en-GB"/>
        </w:rPr>
        <w:t>Seabird (2012).</w:t>
      </w:r>
      <w:proofErr w:type="gramEnd"/>
      <w:r>
        <w:rPr>
          <w:rFonts w:asciiTheme="minorHAnsi" w:hAnsiTheme="minorHAnsi"/>
          <w:sz w:val="22"/>
          <w:lang w:val="en-GB"/>
        </w:rPr>
        <w:t xml:space="preserve"> http://</w:t>
      </w:r>
      <w:r>
        <w:rPr>
          <w:rFonts w:asciiTheme="minorHAnsi" w:hAnsiTheme="minorHAnsi"/>
          <w:sz w:val="22"/>
          <w:lang w:val="en-GB"/>
        </w:rPr>
        <w:t>ftp.seabird.com/application_notes/AN64-2.htm.</w:t>
      </w:r>
    </w:p>
    <w:p w:rsidR="001277C6" w:rsidRDefault="00CA4C76">
      <w:pPr>
        <w:spacing w:beforeAutospacing="1" w:afterAutospacing="1"/>
        <w:ind w:left="284" w:hanging="284"/>
        <w:jc w:val="both"/>
      </w:pPr>
      <w:r>
        <w:t xml:space="preserve">Williams P.J. </w:t>
      </w:r>
      <w:proofErr w:type="spellStart"/>
      <w:proofErr w:type="gramStart"/>
      <w:r>
        <w:t>leB</w:t>
      </w:r>
      <w:proofErr w:type="gramEnd"/>
      <w:r>
        <w:t>.</w:t>
      </w:r>
      <w:proofErr w:type="spellEnd"/>
      <w:r>
        <w:t xml:space="preserve"> </w:t>
      </w:r>
      <w:proofErr w:type="gramStart"/>
      <w:r>
        <w:t>and</w:t>
      </w:r>
      <w:proofErr w:type="gramEnd"/>
      <w:r>
        <w:t xml:space="preserve"> Jenkinson (1982). </w:t>
      </w:r>
      <w:proofErr w:type="gramStart"/>
      <w:r>
        <w:t>A transportable microprocessor-controlled precise Winkler titration suitable for field station and shipboard use.</w:t>
      </w:r>
      <w:proofErr w:type="gramEnd"/>
      <w:r>
        <w:t xml:space="preserve"> </w:t>
      </w:r>
      <w:proofErr w:type="spellStart"/>
      <w:proofErr w:type="gramStart"/>
      <w:r>
        <w:t>Limnol</w:t>
      </w:r>
      <w:proofErr w:type="spellEnd"/>
      <w:r>
        <w:t>.</w:t>
      </w:r>
      <w:proofErr w:type="gramEnd"/>
      <w:r>
        <w:t xml:space="preserve"> </w:t>
      </w:r>
      <w:proofErr w:type="spellStart"/>
      <w:proofErr w:type="gramStart"/>
      <w:r>
        <w:t>Oceanogr</w:t>
      </w:r>
      <w:proofErr w:type="spellEnd"/>
      <w:r>
        <w:t>.</w:t>
      </w:r>
      <w:proofErr w:type="gramEnd"/>
      <w:r>
        <w:t xml:space="preserve"> 27, 576-585.</w:t>
      </w:r>
    </w:p>
    <w:p w:rsidR="001277C6" w:rsidRDefault="00CA4C76">
      <w:pPr>
        <w:pStyle w:val="NormalWeb"/>
        <w:ind w:left="284" w:hanging="284"/>
        <w:rPr>
          <w:rFonts w:asciiTheme="minorHAnsi" w:hAnsiTheme="minorHAnsi"/>
          <w:sz w:val="22"/>
          <w:lang w:val="en-GB"/>
        </w:rPr>
      </w:pPr>
      <w:proofErr w:type="gramStart"/>
      <w:r>
        <w:rPr>
          <w:rFonts w:asciiTheme="minorHAnsi" w:hAnsiTheme="minorHAnsi"/>
          <w:sz w:val="22"/>
          <w:lang w:val="en-GB"/>
        </w:rPr>
        <w:t>Winkler, L.W. 1888.</w:t>
      </w:r>
      <w:proofErr w:type="gramEnd"/>
      <w:r>
        <w:rPr>
          <w:rFonts w:asciiTheme="minorHAnsi" w:hAnsiTheme="minorHAnsi"/>
          <w:sz w:val="22"/>
          <w:lang w:val="en-GB"/>
        </w:rPr>
        <w:t xml:space="preserve"> Die </w:t>
      </w:r>
      <w:proofErr w:type="spellStart"/>
      <w:r>
        <w:rPr>
          <w:rFonts w:asciiTheme="minorHAnsi" w:hAnsiTheme="minorHAnsi"/>
          <w:sz w:val="22"/>
          <w:lang w:val="en-GB"/>
        </w:rPr>
        <w:t>Bestimmung</w:t>
      </w:r>
      <w:proofErr w:type="spellEnd"/>
      <w:r>
        <w:rPr>
          <w:rFonts w:asciiTheme="minorHAnsi" w:hAnsiTheme="minorHAnsi"/>
          <w:sz w:val="22"/>
          <w:lang w:val="en-GB"/>
        </w:rPr>
        <w:t xml:space="preserve"> des in </w:t>
      </w:r>
      <w:proofErr w:type="spellStart"/>
      <w:r>
        <w:rPr>
          <w:rFonts w:asciiTheme="minorHAnsi" w:hAnsiTheme="minorHAnsi"/>
          <w:sz w:val="22"/>
          <w:lang w:val="en-GB"/>
        </w:rPr>
        <w:t>Wasser</w:t>
      </w:r>
      <w:proofErr w:type="spellEnd"/>
      <w:r>
        <w:rPr>
          <w:rFonts w:asciiTheme="minorHAnsi" w:hAnsiTheme="minorHAnsi"/>
          <w:sz w:val="22"/>
          <w:lang w:val="en-GB"/>
        </w:rPr>
        <w:t xml:space="preserve"> </w:t>
      </w:r>
      <w:proofErr w:type="spellStart"/>
      <w:r>
        <w:rPr>
          <w:rFonts w:asciiTheme="minorHAnsi" w:hAnsiTheme="minorHAnsi"/>
          <w:sz w:val="22"/>
          <w:lang w:val="en-GB"/>
        </w:rPr>
        <w:t>gelosten</w:t>
      </w:r>
      <w:proofErr w:type="spellEnd"/>
      <w:r>
        <w:rPr>
          <w:rFonts w:asciiTheme="minorHAnsi" w:hAnsiTheme="minorHAnsi"/>
          <w:sz w:val="22"/>
          <w:lang w:val="en-GB"/>
        </w:rPr>
        <w:t xml:space="preserve"> </w:t>
      </w:r>
      <w:proofErr w:type="spellStart"/>
      <w:r>
        <w:rPr>
          <w:rFonts w:asciiTheme="minorHAnsi" w:hAnsiTheme="minorHAnsi"/>
          <w:sz w:val="22"/>
          <w:lang w:val="en-GB"/>
        </w:rPr>
        <w:t>Sauerstoffen</w:t>
      </w:r>
      <w:proofErr w:type="spellEnd"/>
      <w:r>
        <w:rPr>
          <w:rFonts w:asciiTheme="minorHAnsi" w:hAnsiTheme="minorHAnsi"/>
          <w:sz w:val="22"/>
          <w:lang w:val="en-GB"/>
        </w:rPr>
        <w:t xml:space="preserve">. </w:t>
      </w:r>
      <w:proofErr w:type="spellStart"/>
      <w:r>
        <w:rPr>
          <w:rFonts w:asciiTheme="minorHAnsi" w:hAnsiTheme="minorHAnsi"/>
          <w:sz w:val="22"/>
          <w:lang w:val="en-GB"/>
        </w:rPr>
        <w:t>Berichte</w:t>
      </w:r>
      <w:proofErr w:type="spellEnd"/>
      <w:r>
        <w:rPr>
          <w:rFonts w:asciiTheme="minorHAnsi" w:hAnsiTheme="minorHAnsi"/>
          <w:sz w:val="22"/>
          <w:lang w:val="en-GB"/>
        </w:rPr>
        <w:t xml:space="preserve"> der </w:t>
      </w:r>
      <w:proofErr w:type="spellStart"/>
      <w:r>
        <w:rPr>
          <w:rFonts w:asciiTheme="minorHAnsi" w:hAnsiTheme="minorHAnsi"/>
          <w:sz w:val="22"/>
          <w:lang w:val="en-GB"/>
        </w:rPr>
        <w:t>Deutschen</w:t>
      </w:r>
      <w:proofErr w:type="spellEnd"/>
      <w:r>
        <w:rPr>
          <w:rFonts w:asciiTheme="minorHAnsi" w:hAnsiTheme="minorHAnsi"/>
          <w:sz w:val="22"/>
          <w:lang w:val="en-GB"/>
        </w:rPr>
        <w:t xml:space="preserve"> </w:t>
      </w:r>
      <w:proofErr w:type="spellStart"/>
      <w:r>
        <w:rPr>
          <w:rFonts w:asciiTheme="minorHAnsi" w:hAnsiTheme="minorHAnsi"/>
          <w:sz w:val="22"/>
          <w:lang w:val="en-GB"/>
        </w:rPr>
        <w:t>Chemischen</w:t>
      </w:r>
      <w:proofErr w:type="spellEnd"/>
      <w:r>
        <w:rPr>
          <w:rFonts w:asciiTheme="minorHAnsi" w:hAnsiTheme="minorHAnsi"/>
          <w:sz w:val="22"/>
          <w:lang w:val="en-GB"/>
        </w:rPr>
        <w:t xml:space="preserve"> </w:t>
      </w:r>
      <w:proofErr w:type="spellStart"/>
      <w:r>
        <w:rPr>
          <w:rFonts w:asciiTheme="minorHAnsi" w:hAnsiTheme="minorHAnsi"/>
          <w:sz w:val="22"/>
          <w:lang w:val="en-GB"/>
        </w:rPr>
        <w:t>Gesellschaft</w:t>
      </w:r>
      <w:proofErr w:type="spellEnd"/>
      <w:r>
        <w:rPr>
          <w:rFonts w:asciiTheme="minorHAnsi" w:hAnsiTheme="minorHAnsi"/>
          <w:sz w:val="22"/>
          <w:lang w:val="en-GB"/>
        </w:rPr>
        <w:t>, 21: 2842-2855.</w:t>
      </w:r>
    </w:p>
    <w:p w:rsidR="001277C6" w:rsidRDefault="001277C6">
      <w:pPr>
        <w:pStyle w:val="NormalWeb"/>
        <w:spacing w:before="280" w:after="280"/>
      </w:pPr>
    </w:p>
    <w:sectPr w:rsidR="001277C6">
      <w:pgSz w:w="11906" w:h="16838"/>
      <w:pgMar w:top="1417" w:right="1417" w:bottom="1417" w:left="1417"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iberation Sans">
    <w:altName w:val="Arial"/>
    <w:charset w:val="01"/>
    <w:family w:val="swiss"/>
    <w:pitch w:val="variable"/>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006CCD"/>
    <w:multiLevelType w:val="hybridMultilevel"/>
    <w:tmpl w:val="C0D41FDE"/>
    <w:lvl w:ilvl="0" w:tplc="80FA8CC4">
      <w:start w:val="1"/>
      <w:numFmt w:val="decimal"/>
      <w:lvlText w:val="%1)"/>
      <w:lvlJc w:val="left"/>
      <w:pPr>
        <w:ind w:left="720" w:hanging="360"/>
      </w:pPr>
      <w:rPr>
        <w:rFonts w:ascii="Calibri" w:hAnsi="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0"/>
  <w:doNotDisplayPageBoundaries/>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7C6"/>
    <w:rsid w:val="001277C6"/>
    <w:rsid w:val="001C19F9"/>
    <w:rsid w:val="003D523C"/>
    <w:rsid w:val="0053176F"/>
    <w:rsid w:val="005E2375"/>
    <w:rsid w:val="00773177"/>
    <w:rsid w:val="007F7529"/>
    <w:rsid w:val="00974FCF"/>
    <w:rsid w:val="009A20D5"/>
    <w:rsid w:val="009B54EA"/>
    <w:rsid w:val="00AB1772"/>
    <w:rsid w:val="00B30157"/>
    <w:rsid w:val="00B775D6"/>
    <w:rsid w:val="00CA4C76"/>
    <w:rsid w:val="00CD7EE4"/>
    <w:rsid w:val="00E254E9"/>
    <w:rsid w:val="00EA26A1"/>
    <w:rsid w:val="00F1729C"/>
    <w:rsid w:val="00F8280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style>
  <w:style w:type="paragraph" w:styleId="Titre1">
    <w:name w:val="heading 1"/>
    <w:basedOn w:val="Titre"/>
    <w:pPr>
      <w:outlineLvl w:val="0"/>
    </w:pPr>
  </w:style>
  <w:style w:type="paragraph" w:styleId="Titre2">
    <w:name w:val="heading 2"/>
    <w:basedOn w:val="Titre"/>
    <w:pPr>
      <w:outlineLvl w:val="1"/>
    </w:pPr>
  </w:style>
  <w:style w:type="paragraph" w:styleId="Titre3">
    <w:name w:val="heading 3"/>
    <w:basedOn w:val="Titre"/>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03710A"/>
    <w:rPr>
      <w:rFonts w:ascii="Tahoma" w:hAnsi="Tahoma" w:cs="Tahoma"/>
      <w:sz w:val="16"/>
      <w:szCs w:val="16"/>
    </w:rPr>
  </w:style>
  <w:style w:type="paragraph" w:styleId="Titre">
    <w:name w:val="Title"/>
    <w:basedOn w:val="Normal"/>
    <w:next w:val="Corpsdetexte"/>
    <w:qFormat/>
    <w:pPr>
      <w:keepNext/>
      <w:spacing w:before="240" w:after="120"/>
    </w:pPr>
    <w:rPr>
      <w:rFonts w:ascii="Liberation Sans" w:eastAsia="Droid Sans Fallback" w:hAnsi="Liberation Sans" w:cs="FreeSans"/>
      <w:sz w:val="28"/>
      <w:szCs w:val="28"/>
    </w:rPr>
  </w:style>
  <w:style w:type="paragraph" w:styleId="Corpsdetexte">
    <w:name w:val="Body Text"/>
    <w:basedOn w:val="Normal"/>
    <w:pPr>
      <w:spacing w:after="140" w:line="288" w:lineRule="auto"/>
    </w:pPr>
  </w:style>
  <w:style w:type="paragraph" w:styleId="Liste">
    <w:name w:val="List"/>
    <w:basedOn w:val="Corpsdetexte"/>
    <w:rPr>
      <w:rFonts w:cs="FreeSans"/>
    </w:rPr>
  </w:style>
  <w:style w:type="paragraph" w:styleId="Lgende">
    <w:name w:val="caption"/>
    <w:basedOn w:val="Normal"/>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NormalWeb">
    <w:name w:val="Normal (Web)"/>
    <w:basedOn w:val="Normal"/>
    <w:qFormat/>
    <w:rsid w:val="0003710A"/>
    <w:pPr>
      <w:spacing w:beforeAutospacing="1" w:afterAutospacing="1" w:line="240" w:lineRule="auto"/>
    </w:pPr>
    <w:rPr>
      <w:rFonts w:ascii="Times New Roman" w:eastAsia="Times New Roman" w:hAnsi="Times New Roman" w:cs="Times New Roman"/>
      <w:sz w:val="24"/>
      <w:szCs w:val="24"/>
      <w:lang w:val="fr-FR" w:eastAsia="fr-FR"/>
    </w:rPr>
  </w:style>
  <w:style w:type="paragraph" w:styleId="Textedebulles">
    <w:name w:val="Balloon Text"/>
    <w:basedOn w:val="Normal"/>
    <w:link w:val="TextedebullesCar"/>
    <w:uiPriority w:val="99"/>
    <w:semiHidden/>
    <w:unhideWhenUsed/>
    <w:qFormat/>
    <w:rsid w:val="0003710A"/>
    <w:pPr>
      <w:spacing w:after="0" w:line="240" w:lineRule="auto"/>
    </w:pPr>
    <w:rPr>
      <w:rFonts w:ascii="Tahoma" w:hAnsi="Tahoma" w:cs="Tahoma"/>
      <w:sz w:val="16"/>
      <w:szCs w:val="16"/>
    </w:rPr>
  </w:style>
  <w:style w:type="paragraph" w:customStyle="1" w:styleId="Quotations">
    <w:name w:val="Quotations"/>
    <w:basedOn w:val="Normal"/>
    <w:qFormat/>
  </w:style>
  <w:style w:type="paragraph" w:customStyle="1" w:styleId="Titreprincipal">
    <w:name w:val="Titre principal"/>
    <w:basedOn w:val="Titre"/>
  </w:style>
  <w:style w:type="paragraph" w:styleId="Sous-titre">
    <w:name w:val="Subtitle"/>
    <w:basedOn w:val="Titre"/>
  </w:style>
  <w:style w:type="table" w:styleId="Grilledutableau">
    <w:name w:val="Table Grid"/>
    <w:basedOn w:val="TableauNormal"/>
    <w:uiPriority w:val="59"/>
    <w:rsid w:val="005D15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character" w:styleId="Lienhypertexte">
    <w:name w:val="Hyperlink"/>
    <w:basedOn w:val="Policepardfaut"/>
    <w:uiPriority w:val="99"/>
    <w:semiHidden/>
    <w:unhideWhenUsed/>
    <w:rsid w:val="003D523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style>
  <w:style w:type="paragraph" w:styleId="Titre1">
    <w:name w:val="heading 1"/>
    <w:basedOn w:val="Titre"/>
    <w:pPr>
      <w:outlineLvl w:val="0"/>
    </w:pPr>
  </w:style>
  <w:style w:type="paragraph" w:styleId="Titre2">
    <w:name w:val="heading 2"/>
    <w:basedOn w:val="Titre"/>
    <w:pPr>
      <w:outlineLvl w:val="1"/>
    </w:pPr>
  </w:style>
  <w:style w:type="paragraph" w:styleId="Titre3">
    <w:name w:val="heading 3"/>
    <w:basedOn w:val="Titre"/>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03710A"/>
    <w:rPr>
      <w:rFonts w:ascii="Tahoma" w:hAnsi="Tahoma" w:cs="Tahoma"/>
      <w:sz w:val="16"/>
      <w:szCs w:val="16"/>
    </w:rPr>
  </w:style>
  <w:style w:type="paragraph" w:styleId="Titre">
    <w:name w:val="Title"/>
    <w:basedOn w:val="Normal"/>
    <w:next w:val="Corpsdetexte"/>
    <w:qFormat/>
    <w:pPr>
      <w:keepNext/>
      <w:spacing w:before="240" w:after="120"/>
    </w:pPr>
    <w:rPr>
      <w:rFonts w:ascii="Liberation Sans" w:eastAsia="Droid Sans Fallback" w:hAnsi="Liberation Sans" w:cs="FreeSans"/>
      <w:sz w:val="28"/>
      <w:szCs w:val="28"/>
    </w:rPr>
  </w:style>
  <w:style w:type="paragraph" w:styleId="Corpsdetexte">
    <w:name w:val="Body Text"/>
    <w:basedOn w:val="Normal"/>
    <w:pPr>
      <w:spacing w:after="140" w:line="288" w:lineRule="auto"/>
    </w:pPr>
  </w:style>
  <w:style w:type="paragraph" w:styleId="Liste">
    <w:name w:val="List"/>
    <w:basedOn w:val="Corpsdetexte"/>
    <w:rPr>
      <w:rFonts w:cs="FreeSans"/>
    </w:rPr>
  </w:style>
  <w:style w:type="paragraph" w:styleId="Lgende">
    <w:name w:val="caption"/>
    <w:basedOn w:val="Normal"/>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NormalWeb">
    <w:name w:val="Normal (Web)"/>
    <w:basedOn w:val="Normal"/>
    <w:qFormat/>
    <w:rsid w:val="0003710A"/>
    <w:pPr>
      <w:spacing w:beforeAutospacing="1" w:afterAutospacing="1" w:line="240" w:lineRule="auto"/>
    </w:pPr>
    <w:rPr>
      <w:rFonts w:ascii="Times New Roman" w:eastAsia="Times New Roman" w:hAnsi="Times New Roman" w:cs="Times New Roman"/>
      <w:sz w:val="24"/>
      <w:szCs w:val="24"/>
      <w:lang w:val="fr-FR" w:eastAsia="fr-FR"/>
    </w:rPr>
  </w:style>
  <w:style w:type="paragraph" w:styleId="Textedebulles">
    <w:name w:val="Balloon Text"/>
    <w:basedOn w:val="Normal"/>
    <w:link w:val="TextedebullesCar"/>
    <w:uiPriority w:val="99"/>
    <w:semiHidden/>
    <w:unhideWhenUsed/>
    <w:qFormat/>
    <w:rsid w:val="0003710A"/>
    <w:pPr>
      <w:spacing w:after="0" w:line="240" w:lineRule="auto"/>
    </w:pPr>
    <w:rPr>
      <w:rFonts w:ascii="Tahoma" w:hAnsi="Tahoma" w:cs="Tahoma"/>
      <w:sz w:val="16"/>
      <w:szCs w:val="16"/>
    </w:rPr>
  </w:style>
  <w:style w:type="paragraph" w:customStyle="1" w:styleId="Quotations">
    <w:name w:val="Quotations"/>
    <w:basedOn w:val="Normal"/>
    <w:qFormat/>
  </w:style>
  <w:style w:type="paragraph" w:customStyle="1" w:styleId="Titreprincipal">
    <w:name w:val="Titre principal"/>
    <w:basedOn w:val="Titre"/>
  </w:style>
  <w:style w:type="paragraph" w:styleId="Sous-titre">
    <w:name w:val="Subtitle"/>
    <w:basedOn w:val="Titre"/>
  </w:style>
  <w:style w:type="table" w:styleId="Grilledutableau">
    <w:name w:val="Table Grid"/>
    <w:basedOn w:val="TableauNormal"/>
    <w:uiPriority w:val="59"/>
    <w:rsid w:val="005D15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character" w:styleId="Lienhypertexte">
    <w:name w:val="Hyperlink"/>
    <w:basedOn w:val="Policepardfaut"/>
    <w:uiPriority w:val="99"/>
    <w:semiHidden/>
    <w:unhideWhenUsed/>
    <w:rsid w:val="003D523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com.univ-mrs.fr/olipac/methodes/TO2.html" TargetMode="External"/><Relationship Id="rId13" Type="http://schemas.openxmlformats.org/officeDocument/2006/relationships/image" Target="media/image6.gif"/><Relationship Id="rId3" Type="http://schemas.microsoft.com/office/2007/relationships/stylesWithEffects" Target="stylesWithEffects.xml"/><Relationship Id="rId7" Type="http://schemas.openxmlformats.org/officeDocument/2006/relationships/hyperlink" Target="http://www.com.univ-mrs.fr/olipac/methodes/TO2.html" TargetMode="External"/><Relationship Id="rId12" Type="http://schemas.openxmlformats.org/officeDocument/2006/relationships/image" Target="media/image5.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271</TotalTime>
  <Pages>1</Pages>
  <Words>942</Words>
  <Characters>5376</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dc:creator>
  <cp:lastModifiedBy>DOM</cp:lastModifiedBy>
  <cp:revision>13</cp:revision>
  <dcterms:created xsi:type="dcterms:W3CDTF">2016-02-01T11:51:00Z</dcterms:created>
  <dcterms:modified xsi:type="dcterms:W3CDTF">2016-02-01T16:22:00Z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